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10774" w:type="dxa"/>
        <w:tblInd w:w="-922"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3434"/>
        <w:gridCol w:w="4221"/>
        <w:gridCol w:w="3119"/>
      </w:tblGrid>
      <w:tr w:rsidR="005C4522" w:rsidRPr="009F7CED" w14:paraId="78E5FF0E" w14:textId="77777777" w:rsidTr="33BF7AF8">
        <w:trPr>
          <w:trHeight w:val="97"/>
        </w:trPr>
        <w:tc>
          <w:tcPr>
            <w:tcW w:w="3434" w:type="dxa"/>
            <w:tcBorders>
              <w:top w:val="single" w:sz="4" w:space="0" w:color="auto"/>
              <w:bottom w:val="single" w:sz="4" w:space="0" w:color="auto"/>
              <w:right w:val="single" w:sz="4" w:space="0" w:color="auto"/>
            </w:tcBorders>
            <w:shd w:val="clear" w:color="auto" w:fill="A6A6A6" w:themeFill="background1" w:themeFillShade="A6"/>
            <w:vAlign w:val="center"/>
          </w:tcPr>
          <w:p w14:paraId="0CBA4D1E" w14:textId="77777777" w:rsidR="0026513E" w:rsidRPr="00D965B1" w:rsidRDefault="00795C6B" w:rsidP="002264B8">
            <w:pPr>
              <w:pStyle w:val="Ttulo2"/>
              <w:ind w:right="72"/>
              <w:jc w:val="left"/>
              <w:rPr>
                <w:rFonts w:cs="Arial"/>
                <w:bCs/>
                <w:color w:val="FFFFFF"/>
                <w:sz w:val="22"/>
                <w:szCs w:val="22"/>
              </w:rPr>
            </w:pPr>
            <w:r w:rsidRPr="00D965B1">
              <w:rPr>
                <w:rFonts w:cs="Arial"/>
                <w:color w:val="FFFFFF"/>
                <w:sz w:val="22"/>
                <w:szCs w:val="22"/>
                <w:lang w:val="es-CO"/>
              </w:rPr>
              <w:t>Entidad</w:t>
            </w:r>
            <w:r w:rsidR="00086B16" w:rsidRPr="00D965B1">
              <w:rPr>
                <w:rFonts w:cs="Arial"/>
                <w:color w:val="FFFFFF"/>
                <w:sz w:val="22"/>
                <w:szCs w:val="22"/>
                <w:lang w:val="es-CO"/>
              </w:rPr>
              <w:t xml:space="preserve"> </w:t>
            </w:r>
            <w:r w:rsidRPr="00D965B1">
              <w:rPr>
                <w:rFonts w:cs="Arial"/>
                <w:color w:val="FFFFFF"/>
                <w:sz w:val="22"/>
                <w:szCs w:val="22"/>
                <w:lang w:val="es-CO"/>
              </w:rPr>
              <w:t>originadora</w:t>
            </w:r>
            <w:r w:rsidR="00293F29" w:rsidRPr="00D965B1">
              <w:rPr>
                <w:rFonts w:cs="Arial"/>
                <w:color w:val="FFFFFF"/>
                <w:sz w:val="22"/>
                <w:szCs w:val="22"/>
                <w:lang w:val="es-CO"/>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622D24B4" w14:textId="3EDFB124" w:rsidR="0026513E" w:rsidRPr="00084B49" w:rsidRDefault="0056258D" w:rsidP="00795C6B">
            <w:pPr>
              <w:pStyle w:val="Ttulo2"/>
              <w:ind w:left="72" w:right="72"/>
              <w:jc w:val="left"/>
              <w:rPr>
                <w:rFonts w:cs="Arial"/>
                <w:b w:val="0"/>
                <w:i/>
                <w:color w:val="808080"/>
                <w:sz w:val="22"/>
                <w:szCs w:val="22"/>
              </w:rPr>
            </w:pPr>
            <w:r>
              <w:rPr>
                <w:rFonts w:cs="Arial"/>
                <w:b w:val="0"/>
                <w:i/>
                <w:color w:val="808080"/>
                <w:sz w:val="22"/>
                <w:szCs w:val="22"/>
              </w:rPr>
              <w:t>Superintendencia Financiera de Colombia</w:t>
            </w:r>
          </w:p>
        </w:tc>
      </w:tr>
      <w:tr w:rsidR="005C4522" w:rsidRPr="009F7CED" w14:paraId="41BD783C" w14:textId="77777777" w:rsidTr="33BF7AF8">
        <w:trPr>
          <w:trHeight w:val="97"/>
        </w:trPr>
        <w:tc>
          <w:tcPr>
            <w:tcW w:w="3434" w:type="dxa"/>
            <w:tcBorders>
              <w:top w:val="single" w:sz="4" w:space="0" w:color="auto"/>
              <w:bottom w:val="single" w:sz="4" w:space="0" w:color="auto"/>
              <w:right w:val="single" w:sz="4" w:space="0" w:color="auto"/>
            </w:tcBorders>
            <w:shd w:val="clear" w:color="auto" w:fill="A6A6A6" w:themeFill="background1" w:themeFillShade="A6"/>
            <w:vAlign w:val="center"/>
          </w:tcPr>
          <w:p w14:paraId="2A76AAFB" w14:textId="77777777" w:rsidR="00C47F73" w:rsidRPr="00D965B1" w:rsidRDefault="0026513E" w:rsidP="002264B8">
            <w:pPr>
              <w:pStyle w:val="Ttulo2"/>
              <w:ind w:right="72"/>
              <w:jc w:val="left"/>
              <w:rPr>
                <w:rFonts w:cs="Arial"/>
                <w:bCs/>
                <w:color w:val="FFFFFF"/>
                <w:sz w:val="22"/>
                <w:szCs w:val="22"/>
              </w:rPr>
            </w:pPr>
            <w:r w:rsidRPr="00D965B1">
              <w:rPr>
                <w:rFonts w:cs="Arial"/>
                <w:bCs/>
                <w:color w:val="FFFFFF"/>
                <w:sz w:val="22"/>
                <w:szCs w:val="22"/>
              </w:rPr>
              <w:t>Fecha</w:t>
            </w:r>
            <w:r w:rsidR="00BB545F" w:rsidRPr="00D965B1">
              <w:rPr>
                <w:rFonts w:cs="Arial"/>
                <w:bCs/>
                <w:color w:val="FFFFFF"/>
                <w:sz w:val="22"/>
                <w:szCs w:val="22"/>
              </w:rPr>
              <w:t xml:space="preserve"> (dd/mm/aa)</w:t>
            </w:r>
            <w:r w:rsidR="00293F29" w:rsidRPr="00D965B1">
              <w:rPr>
                <w:rFonts w:cs="Arial"/>
                <w:bCs/>
                <w:color w:val="FFFFFF"/>
                <w:sz w:val="22"/>
                <w:szCs w:val="22"/>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258A326E" w14:textId="77777777" w:rsidR="00C47F73" w:rsidRPr="009F7CED" w:rsidRDefault="00795C6B" w:rsidP="005F30C3">
            <w:pPr>
              <w:pStyle w:val="Ttulo2"/>
              <w:ind w:left="72" w:right="72"/>
              <w:jc w:val="left"/>
              <w:rPr>
                <w:rFonts w:cs="Arial"/>
                <w:b w:val="0"/>
                <w:sz w:val="22"/>
                <w:szCs w:val="22"/>
              </w:rPr>
            </w:pPr>
            <w:r w:rsidRPr="00084B49">
              <w:rPr>
                <w:rFonts w:cs="Arial"/>
                <w:b w:val="0"/>
                <w:i/>
                <w:color w:val="808080"/>
                <w:sz w:val="22"/>
                <w:szCs w:val="22"/>
              </w:rPr>
              <w:t>Indique la fecha en que se presenta a Secretaría Jurídica de Presidencia</w:t>
            </w:r>
          </w:p>
        </w:tc>
      </w:tr>
      <w:tr w:rsidR="005C4522" w:rsidRPr="009F7CED" w14:paraId="4F943E20" w14:textId="77777777" w:rsidTr="33BF7AF8">
        <w:trPr>
          <w:trHeight w:val="97"/>
        </w:trPr>
        <w:tc>
          <w:tcPr>
            <w:tcW w:w="3434" w:type="dxa"/>
            <w:tcBorders>
              <w:top w:val="single" w:sz="4" w:space="0" w:color="auto"/>
              <w:bottom w:val="single" w:sz="4" w:space="0" w:color="auto"/>
              <w:right w:val="single" w:sz="4" w:space="0" w:color="auto"/>
            </w:tcBorders>
            <w:shd w:val="clear" w:color="auto" w:fill="A6A6A6" w:themeFill="background1" w:themeFillShade="A6"/>
            <w:vAlign w:val="center"/>
          </w:tcPr>
          <w:p w14:paraId="1CBA5A35" w14:textId="0F38B337" w:rsidR="0059316B" w:rsidRPr="00D965B1" w:rsidRDefault="00A55DB6" w:rsidP="002264B8">
            <w:pPr>
              <w:pStyle w:val="Ttulo2"/>
              <w:ind w:right="72"/>
              <w:jc w:val="left"/>
              <w:rPr>
                <w:rFonts w:cs="Arial"/>
                <w:bCs/>
                <w:color w:val="FFFFFF"/>
                <w:sz w:val="22"/>
                <w:szCs w:val="22"/>
              </w:rPr>
            </w:pPr>
            <w:r w:rsidRPr="00D965B1">
              <w:rPr>
                <w:rFonts w:cs="Arial"/>
                <w:bCs/>
                <w:color w:val="FFFFFF"/>
                <w:sz w:val="22"/>
                <w:szCs w:val="22"/>
              </w:rPr>
              <w:t xml:space="preserve">Proyecto de </w:t>
            </w:r>
            <w:r w:rsidR="00587695" w:rsidRPr="00D965B1">
              <w:rPr>
                <w:rFonts w:cs="Arial"/>
                <w:bCs/>
                <w:color w:val="FFFFFF"/>
                <w:sz w:val="22"/>
                <w:szCs w:val="22"/>
              </w:rPr>
              <w:t>D</w:t>
            </w:r>
            <w:r w:rsidRPr="00D965B1">
              <w:rPr>
                <w:rFonts w:cs="Arial"/>
                <w:bCs/>
                <w:color w:val="FFFFFF"/>
                <w:sz w:val="22"/>
                <w:szCs w:val="22"/>
              </w:rPr>
              <w:t>ecreto</w:t>
            </w:r>
            <w:r w:rsidR="00795C6B" w:rsidRPr="00D965B1">
              <w:rPr>
                <w:rFonts w:cs="Arial"/>
                <w:bCs/>
                <w:color w:val="FFFFFF"/>
                <w:sz w:val="22"/>
                <w:szCs w:val="22"/>
              </w:rPr>
              <w:t>/Resolución</w:t>
            </w:r>
            <w:r w:rsidR="00722567">
              <w:rPr>
                <w:rFonts w:cs="Arial"/>
                <w:bCs/>
                <w:color w:val="FFFFFF"/>
                <w:sz w:val="22"/>
                <w:szCs w:val="22"/>
              </w:rPr>
              <w:t>/Circular</w:t>
            </w:r>
            <w:r w:rsidR="00293F29" w:rsidRPr="00D965B1">
              <w:rPr>
                <w:rFonts w:cs="Arial"/>
                <w:bCs/>
                <w:color w:val="FFFFFF"/>
                <w:sz w:val="22"/>
                <w:szCs w:val="22"/>
              </w:rPr>
              <w:t>:</w:t>
            </w:r>
          </w:p>
        </w:tc>
        <w:tc>
          <w:tcPr>
            <w:tcW w:w="7340" w:type="dxa"/>
            <w:gridSpan w:val="2"/>
            <w:tcBorders>
              <w:top w:val="single" w:sz="4" w:space="0" w:color="auto"/>
              <w:left w:val="single" w:sz="4" w:space="0" w:color="auto"/>
              <w:bottom w:val="single" w:sz="4" w:space="0" w:color="auto"/>
            </w:tcBorders>
            <w:shd w:val="clear" w:color="auto" w:fill="FFFFFF" w:themeFill="background1"/>
            <w:vAlign w:val="center"/>
          </w:tcPr>
          <w:p w14:paraId="342376E0" w14:textId="77777777" w:rsidR="001F238A" w:rsidRPr="009F7CED" w:rsidRDefault="00795C6B" w:rsidP="005F30C3">
            <w:pPr>
              <w:pStyle w:val="Ttulo2"/>
              <w:ind w:left="72" w:right="72"/>
              <w:jc w:val="left"/>
              <w:rPr>
                <w:rFonts w:cs="Arial"/>
                <w:spacing w:val="-3"/>
                <w:sz w:val="22"/>
                <w:szCs w:val="22"/>
              </w:rPr>
            </w:pPr>
            <w:r w:rsidRPr="00084B49">
              <w:rPr>
                <w:rFonts w:cs="Arial"/>
                <w:b w:val="0"/>
                <w:i/>
                <w:color w:val="808080"/>
                <w:sz w:val="22"/>
                <w:szCs w:val="22"/>
              </w:rPr>
              <w:t>Indique el epígrafe del proyecto normativo</w:t>
            </w:r>
          </w:p>
        </w:tc>
      </w:tr>
      <w:tr w:rsidR="00DF60FD" w:rsidRPr="009F7CED" w14:paraId="4EAB72C5" w14:textId="77777777" w:rsidTr="33BF7AF8">
        <w:trPr>
          <w:trHeight w:val="674"/>
        </w:trPr>
        <w:tc>
          <w:tcPr>
            <w:tcW w:w="10774" w:type="dxa"/>
            <w:gridSpan w:val="3"/>
            <w:tcBorders>
              <w:top w:val="single" w:sz="4" w:space="0" w:color="auto"/>
            </w:tcBorders>
            <w:shd w:val="clear" w:color="auto" w:fill="FFFFFF" w:themeFill="background1"/>
            <w:vAlign w:val="center"/>
          </w:tcPr>
          <w:p w14:paraId="052027CC" w14:textId="77777777" w:rsidR="006315B4" w:rsidRPr="009F7CED" w:rsidRDefault="006315B4" w:rsidP="0075705D">
            <w:pPr>
              <w:autoSpaceDE w:val="0"/>
              <w:autoSpaceDN w:val="0"/>
              <w:adjustRightInd w:val="0"/>
              <w:jc w:val="both"/>
              <w:rPr>
                <w:rFonts w:eastAsia="Calibri" w:cs="Arial"/>
                <w:sz w:val="22"/>
                <w:szCs w:val="22"/>
                <w:lang w:val="es-CO" w:eastAsia="en-US"/>
              </w:rPr>
            </w:pPr>
          </w:p>
          <w:p w14:paraId="335369A3" w14:textId="77777777" w:rsidR="0063528C" w:rsidRDefault="0095690D" w:rsidP="00EF598C">
            <w:pPr>
              <w:numPr>
                <w:ilvl w:val="0"/>
                <w:numId w:val="4"/>
              </w:numPr>
              <w:ind w:left="494"/>
              <w:rPr>
                <w:rFonts w:cs="Arial"/>
                <w:b/>
                <w:color w:val="000000"/>
                <w:sz w:val="22"/>
                <w:szCs w:val="22"/>
                <w:lang w:val="es-CO"/>
              </w:rPr>
            </w:pPr>
            <w:r w:rsidRPr="005F30C3">
              <w:rPr>
                <w:rFonts w:cs="Arial"/>
                <w:b/>
                <w:color w:val="000000"/>
                <w:sz w:val="22"/>
                <w:szCs w:val="22"/>
                <w:lang w:val="es-CO"/>
              </w:rPr>
              <w:t>ANTECEDENTES Y RAZONES DE OPORTUNIDAD Y CONVENIENCIA QUE JUSTIFICAN SU EXPEDICIÓN.</w:t>
            </w:r>
          </w:p>
          <w:p w14:paraId="417C43AA" w14:textId="4C5350E6" w:rsidR="00795C6B" w:rsidRPr="0063528C" w:rsidRDefault="00795C6B" w:rsidP="0063528C">
            <w:pPr>
              <w:ind w:left="494"/>
              <w:rPr>
                <w:rFonts w:cs="Arial"/>
                <w:b/>
                <w:color w:val="000000"/>
                <w:sz w:val="22"/>
                <w:szCs w:val="22"/>
                <w:lang w:val="es-CO"/>
              </w:rPr>
            </w:pPr>
            <w:r w:rsidRPr="0063528C">
              <w:rPr>
                <w:rFonts w:cs="Arial"/>
                <w:i/>
                <w:color w:val="808080"/>
                <w:sz w:val="18"/>
              </w:rPr>
              <w:t xml:space="preserve"> </w:t>
            </w:r>
          </w:p>
          <w:p w14:paraId="53AC7E44"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eastAsia="en-US"/>
              </w:rPr>
              <w:t>Los cambios de las Normas Internacionales de Información Financiera (en adelante «NIIF») buscan mejorar la calidad y transparencia de la información financiera, exigiendo a las entidades más información y una mejor presentación de la misma, con el fin de facilitar la toma de decisiones por parte de los usuarios de esta información. </w:t>
            </w:r>
            <w:r w:rsidRPr="0063528C">
              <w:rPr>
                <w:rFonts w:eastAsia="Calibri" w:cs="Arial"/>
                <w:sz w:val="22"/>
                <w:szCs w:val="22"/>
                <w:lang w:val="es-CO" w:eastAsia="en-US"/>
              </w:rPr>
              <w:t> </w:t>
            </w:r>
          </w:p>
          <w:p w14:paraId="1B74E2C1"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val="es-CO" w:eastAsia="en-US"/>
              </w:rPr>
              <w:t> </w:t>
            </w:r>
          </w:p>
          <w:p w14:paraId="6E2BB6BD" w14:textId="44CA76EF"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eastAsia="en-US"/>
              </w:rPr>
              <w:t>El Decreto 2420 de 2015 estableció la aplicación en Colombia de los criterios técnicos de la NIIF-9 desde el año 2018</w:t>
            </w:r>
            <w:r w:rsidR="00CD09D2">
              <w:rPr>
                <w:rFonts w:eastAsia="Calibri" w:cs="Arial"/>
                <w:sz w:val="22"/>
                <w:szCs w:val="22"/>
                <w:lang w:eastAsia="en-US"/>
              </w:rPr>
              <w:t>, para los estados financieros consolidados de las entidades vigiladas</w:t>
            </w:r>
            <w:r w:rsidRPr="0063528C">
              <w:rPr>
                <w:rFonts w:eastAsia="Calibri" w:cs="Arial"/>
                <w:sz w:val="22"/>
                <w:szCs w:val="22"/>
                <w:lang w:eastAsia="en-US"/>
              </w:rPr>
              <w:t>. Por su parte, por medio del Decreto se otorgaron facultades especiales a la Superintendencia Financiera de Colombia (en adelante «SFC») para impartir las instrucciones especiales en materia de inversiones para todas las entidades vigiladas y para el deterioro por riesgo de crédito para los establecimientos de crédito, las compañías de seguro y demás entidades que intermedien recursos del público. En ese sentido, la SFC ha establecido una hoja de ruta de convergencia a este estándar internacional, por lo cual se requieren modificaciones sustanciales a la información del Catálogo Único de Información Financiera con Fines de Supervisión (en adelante «CUIF»), a los mecanismos de reporte y a las instrucciones vigentes, en especial de la Circular Básica Financiera.</w:t>
            </w:r>
            <w:r w:rsidRPr="0063528C">
              <w:rPr>
                <w:rFonts w:eastAsia="Calibri" w:cs="Arial"/>
                <w:sz w:val="22"/>
                <w:szCs w:val="22"/>
                <w:lang w:val="es-CO" w:eastAsia="en-US"/>
              </w:rPr>
              <w:t> </w:t>
            </w:r>
          </w:p>
          <w:p w14:paraId="1E0E6C72"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val="es-CO" w:eastAsia="en-US"/>
              </w:rPr>
              <w:t> </w:t>
            </w:r>
          </w:p>
          <w:p w14:paraId="2A630797"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val="es-419" w:eastAsia="en-US"/>
              </w:rPr>
              <w:t>Además, en 2021 la Unidad de Proyección Normativa y Estudios de Regulación Financiera (en adelante </w:t>
            </w:r>
            <w:r w:rsidRPr="0063528C">
              <w:rPr>
                <w:rFonts w:eastAsia="Calibri" w:cs="Arial"/>
                <w:sz w:val="22"/>
                <w:szCs w:val="22"/>
                <w:lang w:eastAsia="en-US"/>
              </w:rPr>
              <w:t>«</w:t>
            </w:r>
            <w:r w:rsidRPr="0063528C">
              <w:rPr>
                <w:rFonts w:eastAsia="Calibri" w:cs="Arial"/>
                <w:sz w:val="22"/>
                <w:szCs w:val="22"/>
                <w:lang w:val="es-419" w:eastAsia="en-US"/>
              </w:rPr>
              <w:t>URF</w:t>
            </w:r>
            <w:r w:rsidRPr="0063528C">
              <w:rPr>
                <w:rFonts w:eastAsia="Calibri" w:cs="Arial"/>
                <w:sz w:val="22"/>
                <w:szCs w:val="22"/>
                <w:lang w:eastAsia="en-US"/>
              </w:rPr>
              <w:t>»</w:t>
            </w:r>
            <w:r w:rsidRPr="0063528C">
              <w:rPr>
                <w:rFonts w:eastAsia="Calibri" w:cs="Arial"/>
                <w:sz w:val="22"/>
                <w:szCs w:val="22"/>
                <w:lang w:val="es-419" w:eastAsia="en-US"/>
              </w:rPr>
              <w:t>), publicó la </w:t>
            </w:r>
            <w:r w:rsidRPr="0063528C">
              <w:rPr>
                <w:rFonts w:eastAsia="Calibri" w:cs="Arial"/>
                <w:sz w:val="22"/>
                <w:szCs w:val="22"/>
                <w:lang w:eastAsia="en-US"/>
              </w:rPr>
              <w:t>«</w:t>
            </w:r>
            <w:r w:rsidRPr="0063528C">
              <w:rPr>
                <w:rFonts w:eastAsia="Calibri" w:cs="Arial"/>
                <w:sz w:val="22"/>
                <w:szCs w:val="22"/>
                <w:lang w:val="es-419" w:eastAsia="en-US"/>
              </w:rPr>
              <w:t>Hoja de Ruta para la Modernización de la Regulación del Sector Asegurador</w:t>
            </w:r>
            <w:r w:rsidRPr="0063528C">
              <w:rPr>
                <w:rFonts w:eastAsia="Calibri" w:cs="Arial"/>
                <w:sz w:val="22"/>
                <w:szCs w:val="22"/>
                <w:lang w:eastAsia="en-US"/>
              </w:rPr>
              <w:t>»</w:t>
            </w:r>
            <w:r w:rsidRPr="0063528C">
              <w:rPr>
                <w:rFonts w:eastAsia="Calibri" w:cs="Arial"/>
                <w:sz w:val="22"/>
                <w:szCs w:val="22"/>
                <w:lang w:val="es-419" w:eastAsia="en-US"/>
              </w:rPr>
              <w:t>, en la cual se estableció como un hito la necesidad de converger a la Norma Internacional de Información Financiera 17 (en adelante </w:t>
            </w:r>
            <w:r w:rsidRPr="0063528C">
              <w:rPr>
                <w:rFonts w:eastAsia="Calibri" w:cs="Arial"/>
                <w:sz w:val="22"/>
                <w:szCs w:val="22"/>
                <w:lang w:eastAsia="en-US"/>
              </w:rPr>
              <w:t>«</w:t>
            </w:r>
            <w:r w:rsidRPr="0063528C">
              <w:rPr>
                <w:rFonts w:eastAsia="Calibri" w:cs="Arial"/>
                <w:sz w:val="22"/>
                <w:szCs w:val="22"/>
                <w:lang w:val="es-419" w:eastAsia="en-US"/>
              </w:rPr>
              <w:t>NIIF 17</w:t>
            </w:r>
            <w:r w:rsidRPr="0063528C">
              <w:rPr>
                <w:rFonts w:eastAsia="Calibri" w:cs="Arial"/>
                <w:sz w:val="22"/>
                <w:szCs w:val="22"/>
                <w:lang w:eastAsia="en-US"/>
              </w:rPr>
              <w:t>»</w:t>
            </w:r>
            <w:r w:rsidRPr="0063528C">
              <w:rPr>
                <w:rFonts w:eastAsia="Calibri" w:cs="Arial"/>
                <w:sz w:val="22"/>
                <w:szCs w:val="22"/>
                <w:lang w:val="es-419" w:eastAsia="en-US"/>
              </w:rPr>
              <w:t>) Contratos de Seguro. Esta convergencia responde, entre otras razones, a las limitaciones de la NIIF 4 que hasta entonces había sido aplicada por el sector asegurador, de acuerdo con lo establecido en el Decreto 2420 de 2015. La NIIF 4, además de haber sido concebida como una norma provisional, presentaba dificultades en la comprensión y comparabilidad de la información para supervisores, inversionistas y analistas. En este sentido, la NIIF 4 fue reemplazada por la NIIF 17, norma que establece principios claros para el reconocimiento, medición, presentación y divulgación de la información relacionada con el resultado técnico y financiero de los contratos de seguro.</w:t>
            </w:r>
            <w:r w:rsidRPr="0063528C">
              <w:rPr>
                <w:rFonts w:eastAsia="Calibri" w:cs="Arial"/>
                <w:sz w:val="22"/>
                <w:szCs w:val="22"/>
                <w:lang w:val="es-CO" w:eastAsia="en-US"/>
              </w:rPr>
              <w:t> </w:t>
            </w:r>
          </w:p>
          <w:p w14:paraId="3426EBD8"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val="es-CO" w:eastAsia="en-US"/>
              </w:rPr>
              <w:t> </w:t>
            </w:r>
          </w:p>
          <w:p w14:paraId="54329BF4"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val="es-419" w:eastAsia="en-US"/>
              </w:rPr>
              <w:t>Así las cosas, en el mes de marzo de 2023 el Consejo Técnico de la Contaduría Pública recomendó a la URF y al director de Regulación del Ministerio de Comercio, Industria y Turismo la incorporación de la NIIF 17 </w:t>
            </w:r>
            <w:r w:rsidRPr="0063528C">
              <w:rPr>
                <w:rFonts w:eastAsia="Calibri" w:cs="Arial"/>
                <w:sz w:val="22"/>
                <w:szCs w:val="22"/>
                <w:lang w:eastAsia="en-US"/>
              </w:rPr>
              <w:t>«</w:t>
            </w:r>
            <w:r w:rsidRPr="0063528C">
              <w:rPr>
                <w:rFonts w:eastAsia="Calibri" w:cs="Arial"/>
                <w:sz w:val="22"/>
                <w:szCs w:val="22"/>
                <w:lang w:val="es-419" w:eastAsia="en-US"/>
              </w:rPr>
              <w:t>Contratos de Seguro</w:t>
            </w:r>
            <w:r w:rsidRPr="0063528C">
              <w:rPr>
                <w:rFonts w:eastAsia="Calibri" w:cs="Arial"/>
                <w:sz w:val="22"/>
                <w:szCs w:val="22"/>
                <w:lang w:eastAsia="en-US"/>
              </w:rPr>
              <w:t>»</w:t>
            </w:r>
            <w:r w:rsidRPr="0063528C">
              <w:rPr>
                <w:rFonts w:eastAsia="Calibri" w:cs="Arial"/>
                <w:sz w:val="22"/>
                <w:szCs w:val="22"/>
                <w:lang w:val="es-419" w:eastAsia="en-US"/>
              </w:rPr>
              <w:t> en el ordenamiento jurídico colombiano.</w:t>
            </w:r>
            <w:r w:rsidRPr="0063528C">
              <w:rPr>
                <w:rFonts w:eastAsia="Calibri" w:cs="Arial"/>
                <w:sz w:val="22"/>
                <w:szCs w:val="22"/>
                <w:lang w:val="es-CO" w:eastAsia="en-US"/>
              </w:rPr>
              <w:t> </w:t>
            </w:r>
          </w:p>
          <w:p w14:paraId="3495BB5B"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val="es-CO" w:eastAsia="en-US"/>
              </w:rPr>
              <w:t> </w:t>
            </w:r>
          </w:p>
          <w:p w14:paraId="139D3E82" w14:textId="77777777" w:rsidR="0063528C" w:rsidRPr="0063528C" w:rsidRDefault="0063528C" w:rsidP="0063528C">
            <w:pPr>
              <w:autoSpaceDE w:val="0"/>
              <w:autoSpaceDN w:val="0"/>
              <w:adjustRightInd w:val="0"/>
              <w:jc w:val="both"/>
              <w:rPr>
                <w:rFonts w:eastAsia="Calibri" w:cs="Arial"/>
                <w:sz w:val="22"/>
                <w:szCs w:val="22"/>
                <w:lang w:eastAsia="en-US"/>
              </w:rPr>
            </w:pPr>
            <w:r w:rsidRPr="0063528C">
              <w:rPr>
                <w:rFonts w:eastAsia="Calibri" w:cs="Arial"/>
                <w:sz w:val="22"/>
                <w:szCs w:val="22"/>
                <w:lang w:eastAsia="en-US"/>
              </w:rPr>
              <w:t>En este sentido, en desarrollo de los mandatos y competencias establecidas en la Ley 1314 de 2009, el Gobierno Nacional ha venido avanzando en el proceso de convergencia a las NIIF, a</w:t>
            </w:r>
            <w:r>
              <w:rPr>
                <w:rFonts w:eastAsia="Calibri" w:cs="Arial"/>
                <w:sz w:val="22"/>
                <w:szCs w:val="22"/>
                <w:lang w:eastAsia="en-US"/>
              </w:rPr>
              <w:t xml:space="preserve"> </w:t>
            </w:r>
            <w:r w:rsidRPr="0063528C">
              <w:rPr>
                <w:rFonts w:eastAsia="Calibri" w:cs="Arial"/>
                <w:sz w:val="22"/>
                <w:szCs w:val="22"/>
                <w:lang w:eastAsia="en-US"/>
              </w:rPr>
              <w:t>partir de la incorporación de los estándares más actualizados de información financiera al Decreto Único Reglamentario 2420 de 2015, teniendo en cuenta que las normas de contabilidad de información financiera son independientes y autónomas de las normas tributarias, de conformidad con lo previsto en el artículo 4 de la citada Ley. </w:t>
            </w:r>
          </w:p>
          <w:p w14:paraId="1273AF9C"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val="es-CO" w:eastAsia="en-US"/>
              </w:rPr>
              <w:t> </w:t>
            </w:r>
          </w:p>
          <w:p w14:paraId="7B24B7DA"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eastAsia="en-US"/>
              </w:rPr>
              <w:t xml:space="preserve">A través de la expedición del Decreto 1271 de 2024, el Gobierno Nacional incorporó al Decreto Único 2420 de 2015 la NIIF 17 «Contratos de seguro», a efectos de que las entidades aseguradoras reconozcan la información financiera de los contratos de seguro de forma compatible con el estándar internacional. Así mismo, la Contaduría General de la Nación (en adelante «CGN») expidió la Resolución 441 de 2024, por </w:t>
            </w:r>
            <w:r w:rsidRPr="0063528C">
              <w:rPr>
                <w:rFonts w:eastAsia="Calibri" w:cs="Arial"/>
                <w:sz w:val="22"/>
                <w:szCs w:val="22"/>
                <w:lang w:eastAsia="en-US"/>
              </w:rPr>
              <w:lastRenderedPageBreak/>
              <w:t>medio de la cual modificó la Resolución 037 de 2017 para incorporar a sus marcos técnicos normativos el anexo técnico del Decreto 2420 de 2015.</w:t>
            </w:r>
            <w:r w:rsidRPr="0063528C">
              <w:rPr>
                <w:rFonts w:eastAsia="Calibri" w:cs="Arial"/>
                <w:sz w:val="22"/>
                <w:szCs w:val="22"/>
                <w:lang w:val="es-CO" w:eastAsia="en-US"/>
              </w:rPr>
              <w:t> </w:t>
            </w:r>
          </w:p>
          <w:p w14:paraId="4AAE31A3"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val="es-CO" w:eastAsia="en-US"/>
              </w:rPr>
              <w:t> </w:t>
            </w:r>
          </w:p>
          <w:p w14:paraId="17B31568" w14:textId="44979CD8"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eastAsia="en-US"/>
              </w:rPr>
              <w:t>En concordancia con la actualización de las normas de información financiera antes citadas, el Gobierno Nacional expidió el Decreto 1272 de 2024, mediante el cual se modificó el Decreto 2555 de 2010 en lo relacionado con el régimen prudencial de las reservas técnicas, en el marco de lo previsto en el artículo 186 del Estatuto Orgánico del Sistema Financiero (en adelante «EOSF»). Posteriormente, el Gobierno Nacional amplió la fecha de entrada en vigencia de la NIIF 17 «Contratos de seguros» y del régimen prudencial de las reservas técnicas a partir del 1 de enero del 2028</w:t>
            </w:r>
            <w:r w:rsidR="009A5509">
              <w:rPr>
                <w:rFonts w:eastAsia="Calibri" w:cs="Arial"/>
                <w:sz w:val="22"/>
                <w:szCs w:val="22"/>
                <w:lang w:eastAsia="en-US"/>
              </w:rPr>
              <w:t>,</w:t>
            </w:r>
            <w:r w:rsidRPr="0063528C">
              <w:rPr>
                <w:rFonts w:eastAsia="Calibri" w:cs="Arial"/>
                <w:sz w:val="22"/>
                <w:szCs w:val="22"/>
                <w:lang w:eastAsia="en-US"/>
              </w:rPr>
              <w:t xml:space="preserve"> por medio de los Decretos 217 y Decreto 219 de 2026  </w:t>
            </w:r>
            <w:r w:rsidRPr="0063528C">
              <w:rPr>
                <w:rFonts w:eastAsia="Calibri" w:cs="Arial"/>
                <w:sz w:val="22"/>
                <w:szCs w:val="22"/>
                <w:lang w:val="es-CO" w:eastAsia="en-US"/>
              </w:rPr>
              <w:t> </w:t>
            </w:r>
          </w:p>
          <w:p w14:paraId="4C48EC6E"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val="es-CO" w:eastAsia="en-US"/>
              </w:rPr>
              <w:t> </w:t>
            </w:r>
          </w:p>
          <w:p w14:paraId="24A313E6" w14:textId="05AFEB80"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eastAsia="en-US"/>
              </w:rPr>
              <w:t>En ese sentido, es relevante que la SFC y el mercado obtengan la información necesaria y suficiente que permita la comparabilidad de la información financiera propia de todas las entidades del sistema financiero, en virtud de las continuas actualizaciones de los estándares de información financiera</w:t>
            </w:r>
            <w:r w:rsidR="00212585">
              <w:rPr>
                <w:rFonts w:eastAsia="Calibri" w:cs="Arial"/>
                <w:sz w:val="22"/>
                <w:szCs w:val="22"/>
                <w:lang w:eastAsia="en-US"/>
              </w:rPr>
              <w:t xml:space="preserve">. Como tal, </w:t>
            </w:r>
            <w:r w:rsidRPr="0063528C">
              <w:rPr>
                <w:rFonts w:eastAsia="Calibri" w:cs="Arial"/>
                <w:sz w:val="22"/>
                <w:szCs w:val="22"/>
                <w:lang w:eastAsia="en-US"/>
              </w:rPr>
              <w:t>la alineación del CUIF, con las actualizaciones más recientes de las NIIF, contribuye a este propósito.  </w:t>
            </w:r>
            <w:r w:rsidRPr="0063528C">
              <w:rPr>
                <w:rFonts w:eastAsia="Calibri" w:cs="Arial"/>
                <w:sz w:val="22"/>
                <w:szCs w:val="22"/>
                <w:lang w:val="es-CO" w:eastAsia="en-US"/>
              </w:rPr>
              <w:t> </w:t>
            </w:r>
          </w:p>
          <w:p w14:paraId="1F3F3387"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val="es-CO" w:eastAsia="en-US"/>
              </w:rPr>
              <w:t> </w:t>
            </w:r>
          </w:p>
          <w:p w14:paraId="56A874C5"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eastAsia="en-US"/>
              </w:rPr>
              <w:t>Así las cosas, es necesario reexpedir el CUIF creado por medio de la Circular Externa 021 de 2014, con el fin de que cuente con una estructura de 10 dígitos. Esta modificación tiene como objetivo la ampliación del rango actual de 6 dígitos de información financiera del CUIF para permitir, tanto a las entidades vigiladas como a la SFC, crear los códigos necesarios para el adecuado reconocimiento y revelación de la información financiera de las entidades vigiladas, a partir de los cambios en los estándares internacionales. </w:t>
            </w:r>
            <w:r w:rsidRPr="0063528C">
              <w:rPr>
                <w:rFonts w:eastAsia="Calibri" w:cs="Arial"/>
                <w:sz w:val="22"/>
                <w:szCs w:val="22"/>
                <w:lang w:val="es-CO" w:eastAsia="en-US"/>
              </w:rPr>
              <w:t> </w:t>
            </w:r>
          </w:p>
          <w:p w14:paraId="17948249"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val="es-CO" w:eastAsia="en-US"/>
              </w:rPr>
              <w:t> </w:t>
            </w:r>
          </w:p>
          <w:p w14:paraId="3756E065" w14:textId="77777777" w:rsidR="0063528C" w:rsidRPr="0063528C" w:rsidRDefault="0063528C" w:rsidP="0063528C">
            <w:pPr>
              <w:autoSpaceDE w:val="0"/>
              <w:autoSpaceDN w:val="0"/>
              <w:adjustRightInd w:val="0"/>
              <w:jc w:val="both"/>
              <w:rPr>
                <w:rFonts w:eastAsia="Calibri" w:cs="Arial"/>
                <w:sz w:val="22"/>
                <w:szCs w:val="22"/>
                <w:lang w:val="es-CO" w:eastAsia="en-US"/>
              </w:rPr>
            </w:pPr>
            <w:r w:rsidRPr="0063528C">
              <w:rPr>
                <w:rFonts w:eastAsia="Calibri" w:cs="Arial"/>
                <w:sz w:val="22"/>
                <w:szCs w:val="22"/>
                <w:lang w:eastAsia="en-US"/>
              </w:rPr>
              <w:t>De tal manera, esta mejora técnica del CUIF permitirá avanzar en la adopción de los nuevos estándares de información financiera, así como preparar a todas las entidades del sistema financiero para adoptar de forma ágil las futuras modificaciones de los marcos técnicos normativos de información financiera y los requisitos de información conforme a las disposiciones prudenciales que son aplicables a las entidades vigiladas.  </w:t>
            </w:r>
            <w:r w:rsidRPr="0063528C">
              <w:rPr>
                <w:rFonts w:eastAsia="Calibri" w:cs="Arial"/>
                <w:sz w:val="22"/>
                <w:szCs w:val="22"/>
                <w:lang w:val="es-CO" w:eastAsia="en-US"/>
              </w:rPr>
              <w:t> </w:t>
            </w:r>
          </w:p>
          <w:p w14:paraId="573CB2FD" w14:textId="77777777" w:rsidR="002E4A97" w:rsidRPr="009F7CED" w:rsidRDefault="002E4A97" w:rsidP="0075705D">
            <w:pPr>
              <w:autoSpaceDE w:val="0"/>
              <w:autoSpaceDN w:val="0"/>
              <w:adjustRightInd w:val="0"/>
              <w:jc w:val="both"/>
              <w:rPr>
                <w:rFonts w:eastAsia="Calibri" w:cs="Arial"/>
                <w:sz w:val="22"/>
                <w:szCs w:val="22"/>
                <w:lang w:val="es-CO" w:eastAsia="en-US"/>
              </w:rPr>
            </w:pPr>
          </w:p>
        </w:tc>
      </w:tr>
      <w:tr w:rsidR="00DF60FD" w:rsidRPr="009F7CED" w14:paraId="29222F4D" w14:textId="77777777" w:rsidTr="33BF7AF8">
        <w:trPr>
          <w:trHeight w:val="47"/>
        </w:trPr>
        <w:tc>
          <w:tcPr>
            <w:tcW w:w="10774" w:type="dxa"/>
            <w:gridSpan w:val="3"/>
            <w:shd w:val="clear" w:color="auto" w:fill="FFFFFF" w:themeFill="background1"/>
            <w:vAlign w:val="center"/>
          </w:tcPr>
          <w:p w14:paraId="225EC7C2" w14:textId="77777777" w:rsidR="00251FCE" w:rsidRPr="009F7CED" w:rsidRDefault="00251FCE" w:rsidP="0075705D">
            <w:pPr>
              <w:jc w:val="both"/>
              <w:rPr>
                <w:lang w:eastAsia="es-CO"/>
              </w:rPr>
            </w:pPr>
          </w:p>
        </w:tc>
      </w:tr>
      <w:tr w:rsidR="00DF60FD" w:rsidRPr="009F7CED" w14:paraId="5484EEA1" w14:textId="77777777" w:rsidTr="33BF7AF8">
        <w:trPr>
          <w:trHeight w:val="66"/>
        </w:trPr>
        <w:tc>
          <w:tcPr>
            <w:tcW w:w="10774" w:type="dxa"/>
            <w:gridSpan w:val="3"/>
            <w:tcBorders>
              <w:top w:val="single" w:sz="4" w:space="0" w:color="auto"/>
              <w:bottom w:val="single" w:sz="4" w:space="0" w:color="auto"/>
            </w:tcBorders>
            <w:shd w:val="clear" w:color="auto" w:fill="FFFFFF" w:themeFill="background1"/>
            <w:vAlign w:val="center"/>
          </w:tcPr>
          <w:p w14:paraId="1F7D5DF0" w14:textId="77777777" w:rsidR="00DF60FD" w:rsidRDefault="00DF60FD" w:rsidP="00EF598C">
            <w:pPr>
              <w:numPr>
                <w:ilvl w:val="0"/>
                <w:numId w:val="4"/>
              </w:numPr>
              <w:ind w:left="494"/>
              <w:rPr>
                <w:rFonts w:cs="Arial"/>
                <w:b/>
                <w:color w:val="000000"/>
                <w:sz w:val="22"/>
                <w:szCs w:val="22"/>
              </w:rPr>
            </w:pPr>
            <w:r w:rsidRPr="009F7CED">
              <w:rPr>
                <w:rFonts w:cs="Arial"/>
                <w:b/>
                <w:color w:val="000000"/>
                <w:sz w:val="22"/>
                <w:szCs w:val="22"/>
              </w:rPr>
              <w:t>AMBITO DE APLICACIÓN Y SUJETO</w:t>
            </w:r>
            <w:r w:rsidR="00795C6B">
              <w:rPr>
                <w:rFonts w:cs="Arial"/>
                <w:b/>
                <w:color w:val="000000"/>
                <w:sz w:val="22"/>
                <w:szCs w:val="22"/>
              </w:rPr>
              <w:t>S</w:t>
            </w:r>
            <w:r w:rsidRPr="009F7CED">
              <w:rPr>
                <w:rFonts w:cs="Arial"/>
                <w:b/>
                <w:color w:val="000000"/>
                <w:sz w:val="22"/>
                <w:szCs w:val="22"/>
              </w:rPr>
              <w:t xml:space="preserve"> A QUIEN</w:t>
            </w:r>
            <w:r w:rsidR="00795C6B">
              <w:rPr>
                <w:rFonts w:cs="Arial"/>
                <w:b/>
                <w:color w:val="000000"/>
                <w:sz w:val="22"/>
                <w:szCs w:val="22"/>
              </w:rPr>
              <w:t>ES</w:t>
            </w:r>
            <w:r w:rsidRPr="009F7CED">
              <w:rPr>
                <w:rFonts w:cs="Arial"/>
                <w:b/>
                <w:color w:val="000000"/>
                <w:sz w:val="22"/>
                <w:szCs w:val="22"/>
              </w:rPr>
              <w:t xml:space="preserve"> VA DIRIGIDO</w:t>
            </w:r>
          </w:p>
          <w:p w14:paraId="4F60B6E2" w14:textId="77777777" w:rsidR="0063528C" w:rsidRDefault="0063528C" w:rsidP="0075705D">
            <w:pPr>
              <w:rPr>
                <w:rFonts w:cs="Arial"/>
                <w:bCs/>
                <w:color w:val="000000"/>
                <w:sz w:val="22"/>
                <w:szCs w:val="22"/>
              </w:rPr>
            </w:pPr>
          </w:p>
          <w:p w14:paraId="5EEB0A58" w14:textId="547609BF" w:rsidR="00795C6B" w:rsidRPr="0063528C" w:rsidRDefault="0063528C" w:rsidP="0075705D">
            <w:pPr>
              <w:rPr>
                <w:rFonts w:cs="Arial"/>
                <w:bCs/>
                <w:color w:val="000000"/>
                <w:sz w:val="22"/>
                <w:szCs w:val="22"/>
              </w:rPr>
            </w:pPr>
            <w:r w:rsidRPr="0063528C">
              <w:rPr>
                <w:rFonts w:cs="Arial"/>
                <w:bCs/>
                <w:color w:val="000000"/>
                <w:sz w:val="22"/>
                <w:szCs w:val="22"/>
              </w:rPr>
              <w:t>Entidades vigiladas por la SFC </w:t>
            </w:r>
          </w:p>
          <w:p w14:paraId="79F8B000" w14:textId="77777777" w:rsidR="00795C6B" w:rsidRPr="009F7CED" w:rsidRDefault="00795C6B" w:rsidP="0075705D">
            <w:pPr>
              <w:rPr>
                <w:rFonts w:cs="Arial"/>
                <w:iCs/>
                <w:color w:val="000000"/>
                <w:sz w:val="22"/>
                <w:szCs w:val="22"/>
              </w:rPr>
            </w:pPr>
          </w:p>
        </w:tc>
      </w:tr>
      <w:tr w:rsidR="00DF60FD" w:rsidRPr="009F7CED" w14:paraId="22DB44DB" w14:textId="77777777" w:rsidTr="33BF7AF8">
        <w:trPr>
          <w:trHeight w:val="278"/>
        </w:trPr>
        <w:tc>
          <w:tcPr>
            <w:tcW w:w="10774" w:type="dxa"/>
            <w:gridSpan w:val="3"/>
            <w:tcBorders>
              <w:bottom w:val="single" w:sz="4" w:space="0" w:color="auto"/>
            </w:tcBorders>
            <w:shd w:val="clear" w:color="auto" w:fill="FFFFFF" w:themeFill="background1"/>
            <w:vAlign w:val="center"/>
          </w:tcPr>
          <w:p w14:paraId="069699BE" w14:textId="732F0AD9" w:rsidR="00D05B67" w:rsidRPr="00613299" w:rsidRDefault="00795C6B" w:rsidP="00613299">
            <w:pPr>
              <w:ind w:left="494" w:hanging="283"/>
              <w:rPr>
                <w:rFonts w:cs="Arial"/>
                <w:b/>
                <w:color w:val="000000"/>
                <w:sz w:val="22"/>
                <w:szCs w:val="22"/>
              </w:rPr>
            </w:pPr>
            <w:r>
              <w:rPr>
                <w:rFonts w:cs="Arial"/>
                <w:b/>
                <w:color w:val="000000"/>
                <w:sz w:val="22"/>
                <w:szCs w:val="22"/>
              </w:rPr>
              <w:t xml:space="preserve">3. </w:t>
            </w:r>
            <w:r w:rsidR="00DF60FD" w:rsidRPr="009F7CED">
              <w:rPr>
                <w:rFonts w:cs="Arial"/>
                <w:b/>
                <w:color w:val="000000"/>
                <w:sz w:val="22"/>
                <w:szCs w:val="22"/>
              </w:rPr>
              <w:t>VIABILIDAD JURÍDICA</w:t>
            </w:r>
          </w:p>
          <w:p w14:paraId="5A94CC23" w14:textId="77777777" w:rsidR="00D05B67" w:rsidRPr="00084B49" w:rsidRDefault="00D05B67" w:rsidP="0075705D">
            <w:pPr>
              <w:ind w:left="494" w:hanging="283"/>
              <w:rPr>
                <w:rFonts w:cs="Arial"/>
                <w:i/>
                <w:color w:val="808080"/>
                <w:sz w:val="22"/>
                <w:szCs w:val="22"/>
              </w:rPr>
            </w:pPr>
          </w:p>
          <w:p w14:paraId="19684ACF" w14:textId="77777777" w:rsidR="00795C6B" w:rsidRPr="0063528C" w:rsidRDefault="00795C6B" w:rsidP="0075705D">
            <w:pPr>
              <w:ind w:left="494" w:hanging="283"/>
              <w:jc w:val="both"/>
              <w:rPr>
                <w:rFonts w:cs="Arial"/>
                <w:b/>
                <w:bCs/>
                <w:sz w:val="22"/>
                <w:szCs w:val="22"/>
                <w:lang w:val="es-CO" w:eastAsia="es-CO"/>
              </w:rPr>
            </w:pPr>
            <w:r w:rsidRPr="0063528C">
              <w:rPr>
                <w:rFonts w:cs="Arial"/>
                <w:b/>
                <w:bCs/>
                <w:sz w:val="22"/>
                <w:szCs w:val="22"/>
                <w:lang w:val="es-CO" w:eastAsia="es-CO"/>
              </w:rPr>
              <w:t>3.1 Análisis de las normas que otorgan la competencia para la expedición del proyecto normativo</w:t>
            </w:r>
          </w:p>
          <w:p w14:paraId="6D8C3120" w14:textId="77777777" w:rsidR="0063528C" w:rsidRDefault="0063528C" w:rsidP="0075705D">
            <w:pPr>
              <w:ind w:left="494" w:hanging="283"/>
              <w:jc w:val="both"/>
              <w:rPr>
                <w:rFonts w:cs="Arial"/>
                <w:sz w:val="22"/>
                <w:szCs w:val="22"/>
                <w:lang w:val="es-CO" w:eastAsia="es-CO"/>
              </w:rPr>
            </w:pPr>
          </w:p>
          <w:p w14:paraId="2586800A" w14:textId="7A749344" w:rsidR="0063528C" w:rsidRDefault="0063528C" w:rsidP="0063528C">
            <w:pPr>
              <w:ind w:left="211"/>
              <w:jc w:val="both"/>
              <w:rPr>
                <w:rFonts w:cs="Arial"/>
                <w:sz w:val="22"/>
                <w:szCs w:val="22"/>
                <w:lang w:val="es-CO" w:eastAsia="es-CO"/>
              </w:rPr>
            </w:pPr>
            <w:r w:rsidRPr="0063528C">
              <w:rPr>
                <w:rFonts w:cs="Arial"/>
                <w:sz w:val="22"/>
                <w:szCs w:val="22"/>
                <w:lang w:eastAsia="es-CO"/>
              </w:rPr>
              <w:t>La SFC cuenta con las facultades para reexpedir el CUIF, en ejercicio de las facultades previstas en el artículo 10 de la Ley 1314 de 2009, en concordancia con lo dispuesto en el numeral 5 del artículo 97 y en el literal (a) del numeral 3 del artículo 326 del EOSF; y teniendo en cuenta el numeral 4 del artículo 11.2.1.4.2 del Decreto 2555 de 2010. </w:t>
            </w:r>
          </w:p>
          <w:p w14:paraId="510AB6D9" w14:textId="77777777" w:rsidR="00795C6B" w:rsidRDefault="00795C6B" w:rsidP="0075705D">
            <w:pPr>
              <w:ind w:left="494" w:hanging="283"/>
              <w:jc w:val="both"/>
              <w:rPr>
                <w:rFonts w:cs="Arial"/>
                <w:sz w:val="22"/>
                <w:szCs w:val="22"/>
                <w:lang w:val="es-CO" w:eastAsia="es-CO"/>
              </w:rPr>
            </w:pPr>
          </w:p>
          <w:p w14:paraId="23157FE5" w14:textId="77777777" w:rsidR="00795C6B" w:rsidRPr="0063528C" w:rsidRDefault="00795C6B" w:rsidP="0075705D">
            <w:pPr>
              <w:ind w:left="494" w:hanging="283"/>
              <w:jc w:val="both"/>
              <w:rPr>
                <w:rFonts w:cs="Arial"/>
                <w:b/>
                <w:bCs/>
                <w:sz w:val="22"/>
                <w:szCs w:val="22"/>
                <w:lang w:val="es-CO" w:eastAsia="es-CO"/>
              </w:rPr>
            </w:pPr>
            <w:r w:rsidRPr="0063528C">
              <w:rPr>
                <w:rFonts w:cs="Arial"/>
                <w:b/>
                <w:bCs/>
                <w:sz w:val="22"/>
                <w:szCs w:val="22"/>
                <w:lang w:val="es-CO" w:eastAsia="es-CO"/>
              </w:rPr>
              <w:t>3.2 Vigencia de la ley o norma reglamentada o desarrollada</w:t>
            </w:r>
          </w:p>
          <w:p w14:paraId="7014BF90" w14:textId="77777777" w:rsidR="0063528C" w:rsidRDefault="0063528C" w:rsidP="0075705D">
            <w:pPr>
              <w:ind w:left="494" w:hanging="283"/>
              <w:jc w:val="both"/>
              <w:rPr>
                <w:rFonts w:cs="Arial"/>
                <w:sz w:val="22"/>
                <w:szCs w:val="22"/>
                <w:lang w:val="es-CO" w:eastAsia="es-CO"/>
              </w:rPr>
            </w:pPr>
          </w:p>
          <w:p w14:paraId="69CD41F1" w14:textId="19B1FCA2" w:rsidR="0063528C" w:rsidRDefault="0063528C" w:rsidP="0063528C">
            <w:pPr>
              <w:ind w:left="211"/>
              <w:jc w:val="both"/>
              <w:rPr>
                <w:rFonts w:cs="Arial"/>
                <w:sz w:val="22"/>
                <w:szCs w:val="22"/>
                <w:lang w:val="es-CO" w:eastAsia="es-CO"/>
              </w:rPr>
            </w:pPr>
            <w:r w:rsidRPr="0063528C">
              <w:rPr>
                <w:rFonts w:cs="Arial"/>
                <w:sz w:val="22"/>
                <w:szCs w:val="22"/>
                <w:lang w:eastAsia="es-CO"/>
              </w:rPr>
              <w:t>El Catálogo Único de Información Financiera con Fines de Supervisión (CUIF) fue expedido por medio de la Circular Externa 021 de 2014 y se encuentra vigente a la fecha.  </w:t>
            </w:r>
          </w:p>
          <w:p w14:paraId="0AD83E99" w14:textId="77777777" w:rsidR="00795C6B" w:rsidRDefault="00795C6B" w:rsidP="0075705D">
            <w:pPr>
              <w:ind w:left="494" w:hanging="283"/>
              <w:jc w:val="both"/>
              <w:rPr>
                <w:rFonts w:cs="Arial"/>
                <w:sz w:val="22"/>
                <w:szCs w:val="22"/>
                <w:lang w:val="es-CO" w:eastAsia="es-CO"/>
              </w:rPr>
            </w:pPr>
          </w:p>
          <w:p w14:paraId="24E63539" w14:textId="77777777" w:rsidR="00795C6B" w:rsidRPr="0063528C" w:rsidRDefault="00795C6B" w:rsidP="0075705D">
            <w:pPr>
              <w:ind w:left="494" w:hanging="283"/>
              <w:jc w:val="both"/>
              <w:rPr>
                <w:rFonts w:cs="Arial"/>
                <w:b/>
                <w:bCs/>
                <w:sz w:val="22"/>
                <w:szCs w:val="22"/>
                <w:lang w:val="es-CO" w:eastAsia="es-CO"/>
              </w:rPr>
            </w:pPr>
            <w:r w:rsidRPr="0063528C">
              <w:rPr>
                <w:rFonts w:cs="Arial"/>
                <w:b/>
                <w:bCs/>
                <w:sz w:val="22"/>
                <w:szCs w:val="22"/>
                <w:lang w:val="es-CO" w:eastAsia="es-CO"/>
              </w:rPr>
              <w:t>3.3. Disposiciones derogas, subrogadas, modificadas, adicionadas</w:t>
            </w:r>
            <w:r w:rsidR="00D05B67" w:rsidRPr="0063528C">
              <w:rPr>
                <w:rFonts w:cs="Arial"/>
                <w:b/>
                <w:bCs/>
                <w:sz w:val="22"/>
                <w:szCs w:val="22"/>
                <w:lang w:val="es-CO" w:eastAsia="es-CO"/>
              </w:rPr>
              <w:t xml:space="preserve"> o sustituidas </w:t>
            </w:r>
          </w:p>
          <w:p w14:paraId="0AF6DA7D" w14:textId="77777777" w:rsidR="0063528C" w:rsidRDefault="0063528C" w:rsidP="0075705D">
            <w:pPr>
              <w:ind w:left="494" w:hanging="283"/>
              <w:jc w:val="both"/>
              <w:rPr>
                <w:rFonts w:cs="Arial"/>
                <w:sz w:val="22"/>
                <w:szCs w:val="22"/>
                <w:lang w:val="es-CO" w:eastAsia="es-CO"/>
              </w:rPr>
            </w:pPr>
          </w:p>
          <w:p w14:paraId="1FED7EEF" w14:textId="1522E2EC" w:rsidR="0063528C" w:rsidRDefault="0063528C" w:rsidP="0063528C">
            <w:pPr>
              <w:ind w:left="211"/>
              <w:jc w:val="both"/>
              <w:rPr>
                <w:rFonts w:cs="Arial"/>
                <w:sz w:val="22"/>
                <w:szCs w:val="22"/>
                <w:lang w:val="es-CO" w:eastAsia="es-CO"/>
              </w:rPr>
            </w:pPr>
            <w:r w:rsidRPr="0063528C">
              <w:rPr>
                <w:rFonts w:cs="Arial"/>
                <w:sz w:val="22"/>
                <w:szCs w:val="22"/>
                <w:lang w:eastAsia="es-CO"/>
              </w:rPr>
              <w:t xml:space="preserve">El presente proyecto de Circular Externa reexpide el CUIF con el propósito de mantener las reglas técnicas y uniformes en materia contable para la presentación de la información financiera de las entidades vigiladas, que permita garantizar el ejercicio de las funciones de supervisión de la SFC. De esta manera se </w:t>
            </w:r>
            <w:r w:rsidRPr="0063528C">
              <w:rPr>
                <w:rFonts w:cs="Arial"/>
                <w:sz w:val="22"/>
                <w:szCs w:val="22"/>
                <w:lang w:eastAsia="es-CO"/>
              </w:rPr>
              <w:lastRenderedPageBreak/>
              <w:t>armonizan los requerimientos e instrucciones impartidas a las entidades vigiladas para conseguir un reporte de información financiera suficiente y apropiado que permita la comparabilidad de la información financiera propia del sector y que resulta necesaria para el seguimiento del comportamiento del sistema financiero, así como para la construcción de los indicadores económicos del país.  </w:t>
            </w:r>
          </w:p>
          <w:p w14:paraId="2E9483AE" w14:textId="77777777" w:rsidR="00D05B67" w:rsidRDefault="00D05B67" w:rsidP="0075705D">
            <w:pPr>
              <w:ind w:left="494" w:hanging="283"/>
              <w:jc w:val="both"/>
              <w:rPr>
                <w:rFonts w:cs="Arial"/>
                <w:sz w:val="22"/>
                <w:szCs w:val="22"/>
                <w:lang w:val="es-CO" w:eastAsia="es-CO"/>
              </w:rPr>
            </w:pPr>
          </w:p>
          <w:p w14:paraId="128C77FD" w14:textId="77777777" w:rsidR="00D05B67" w:rsidRPr="0063528C" w:rsidRDefault="00D05B67" w:rsidP="0075705D">
            <w:pPr>
              <w:ind w:left="494" w:hanging="283"/>
              <w:jc w:val="both"/>
              <w:rPr>
                <w:rFonts w:cs="Arial"/>
                <w:b/>
                <w:bCs/>
                <w:sz w:val="22"/>
                <w:szCs w:val="22"/>
                <w:lang w:val="es-CO" w:eastAsia="es-CO"/>
              </w:rPr>
            </w:pPr>
            <w:r w:rsidRPr="0063528C">
              <w:rPr>
                <w:rFonts w:cs="Arial"/>
                <w:b/>
                <w:bCs/>
                <w:sz w:val="22"/>
                <w:szCs w:val="22"/>
                <w:lang w:val="es-CO" w:eastAsia="es-CO"/>
              </w:rPr>
              <w:t>3.4 Revisión y análisis de la jurisprudencia que tenga impacto o sea relevante para la expedición del proyecto normativo (órganos de cierre de cada jurisdicción)</w:t>
            </w:r>
          </w:p>
          <w:p w14:paraId="2A21B025" w14:textId="77777777" w:rsidR="0063528C" w:rsidRDefault="0063528C" w:rsidP="0075705D">
            <w:pPr>
              <w:ind w:left="494" w:hanging="283"/>
              <w:jc w:val="both"/>
              <w:rPr>
                <w:rFonts w:cs="Arial"/>
                <w:sz w:val="22"/>
                <w:szCs w:val="22"/>
                <w:lang w:val="es-CO" w:eastAsia="es-CO"/>
              </w:rPr>
            </w:pPr>
          </w:p>
          <w:p w14:paraId="6C83FB38" w14:textId="4F7FD502" w:rsidR="0063528C" w:rsidRDefault="0063528C" w:rsidP="0075705D">
            <w:pPr>
              <w:ind w:left="494" w:hanging="283"/>
              <w:jc w:val="both"/>
              <w:rPr>
                <w:rFonts w:cs="Arial"/>
                <w:sz w:val="22"/>
                <w:szCs w:val="22"/>
                <w:lang w:val="es-CO" w:eastAsia="es-CO"/>
              </w:rPr>
            </w:pPr>
            <w:r w:rsidRPr="0063528C">
              <w:rPr>
                <w:rFonts w:cs="Arial"/>
                <w:sz w:val="22"/>
                <w:szCs w:val="22"/>
                <w:lang w:eastAsia="es-CO"/>
              </w:rPr>
              <w:t>No se evidencia jurisprudencia que tenga impacto o sea relevante respecto al contenido del CUIF.  </w:t>
            </w:r>
          </w:p>
          <w:p w14:paraId="31E3ED38" w14:textId="77777777" w:rsidR="00D05B67" w:rsidRDefault="00D05B67" w:rsidP="0075705D">
            <w:pPr>
              <w:ind w:left="494" w:hanging="283"/>
              <w:jc w:val="both"/>
              <w:rPr>
                <w:rFonts w:cs="Arial"/>
                <w:sz w:val="22"/>
                <w:szCs w:val="22"/>
                <w:lang w:val="es-CO" w:eastAsia="es-CO"/>
              </w:rPr>
            </w:pPr>
          </w:p>
          <w:p w14:paraId="10103BB0" w14:textId="77777777" w:rsidR="00D05B67" w:rsidRPr="0063528C" w:rsidRDefault="00D05B67" w:rsidP="0075705D">
            <w:pPr>
              <w:ind w:left="494" w:hanging="283"/>
              <w:jc w:val="both"/>
              <w:rPr>
                <w:rFonts w:cs="Arial"/>
                <w:b/>
                <w:bCs/>
                <w:sz w:val="22"/>
                <w:szCs w:val="22"/>
                <w:lang w:val="es-CO" w:eastAsia="es-CO"/>
              </w:rPr>
            </w:pPr>
            <w:r w:rsidRPr="0063528C">
              <w:rPr>
                <w:rFonts w:cs="Arial"/>
                <w:b/>
                <w:bCs/>
                <w:sz w:val="22"/>
                <w:szCs w:val="22"/>
                <w:lang w:val="es-CO" w:eastAsia="es-CO"/>
              </w:rPr>
              <w:t xml:space="preserve">3.5 Circunstancias jurídicas adicionales </w:t>
            </w:r>
          </w:p>
          <w:p w14:paraId="300A55E6" w14:textId="77777777" w:rsidR="0063528C" w:rsidRDefault="0063528C" w:rsidP="0075705D">
            <w:pPr>
              <w:ind w:left="494" w:hanging="283"/>
              <w:jc w:val="both"/>
              <w:rPr>
                <w:rFonts w:cs="Arial"/>
                <w:sz w:val="22"/>
                <w:szCs w:val="22"/>
                <w:lang w:val="es-CO" w:eastAsia="es-CO"/>
              </w:rPr>
            </w:pPr>
          </w:p>
          <w:p w14:paraId="45415D96" w14:textId="6196A179" w:rsidR="0063528C" w:rsidRDefault="0063528C" w:rsidP="0075705D">
            <w:pPr>
              <w:ind w:left="494" w:hanging="283"/>
              <w:jc w:val="both"/>
              <w:rPr>
                <w:rFonts w:cs="Arial"/>
                <w:sz w:val="22"/>
                <w:szCs w:val="22"/>
                <w:lang w:eastAsia="es-CO"/>
              </w:rPr>
            </w:pPr>
            <w:r w:rsidRPr="0063528C">
              <w:rPr>
                <w:rFonts w:cs="Arial"/>
                <w:sz w:val="22"/>
                <w:szCs w:val="22"/>
                <w:lang w:eastAsia="es-CO"/>
              </w:rPr>
              <w:t>No se presentan circunstancias jurídicas adicionales para el presente proyecto de Circular Externa. </w:t>
            </w:r>
          </w:p>
          <w:p w14:paraId="4DC8CCBA" w14:textId="77777777" w:rsidR="006810A0" w:rsidRDefault="006810A0" w:rsidP="0075705D">
            <w:pPr>
              <w:ind w:left="494" w:hanging="283"/>
              <w:jc w:val="both"/>
              <w:rPr>
                <w:rFonts w:cs="Arial"/>
                <w:sz w:val="22"/>
                <w:szCs w:val="22"/>
                <w:lang w:val="es-CO" w:eastAsia="es-CO"/>
              </w:rPr>
            </w:pPr>
          </w:p>
          <w:p w14:paraId="358AA4A6" w14:textId="77777777" w:rsidR="00795C6B" w:rsidRPr="009F7CED" w:rsidRDefault="00795C6B" w:rsidP="00795C6B">
            <w:pPr>
              <w:pBdr>
                <w:top w:val="single" w:sz="4" w:space="1" w:color="auto"/>
                <w:left w:val="single" w:sz="4" w:space="4" w:color="auto"/>
                <w:bottom w:val="single" w:sz="4" w:space="1" w:color="auto"/>
                <w:right w:val="single" w:sz="4" w:space="4" w:color="auto"/>
              </w:pBdr>
              <w:jc w:val="both"/>
              <w:rPr>
                <w:rFonts w:cs="Arial"/>
                <w:sz w:val="22"/>
                <w:szCs w:val="22"/>
                <w:lang w:val="es-CO" w:eastAsia="es-CO"/>
              </w:rPr>
            </w:pPr>
          </w:p>
        </w:tc>
      </w:tr>
      <w:tr w:rsidR="00DF60FD" w:rsidRPr="009F7CED" w14:paraId="206410DD" w14:textId="77777777" w:rsidTr="33BF7AF8">
        <w:trPr>
          <w:trHeight w:val="925"/>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D4326" w14:textId="77777777" w:rsidR="00843EFF" w:rsidRPr="009F7CED" w:rsidRDefault="00843EFF" w:rsidP="00A161B9">
            <w:pPr>
              <w:rPr>
                <w:rFonts w:cs="Arial"/>
                <w:b/>
                <w:color w:val="000000"/>
                <w:sz w:val="22"/>
                <w:szCs w:val="22"/>
              </w:rPr>
            </w:pPr>
          </w:p>
          <w:p w14:paraId="3935EE7C" w14:textId="756644C6" w:rsidR="00DF60FD" w:rsidRPr="0063528C" w:rsidRDefault="00DF60FD" w:rsidP="00EF598C">
            <w:pPr>
              <w:numPr>
                <w:ilvl w:val="0"/>
                <w:numId w:val="2"/>
              </w:numPr>
              <w:rPr>
                <w:rFonts w:cs="Arial"/>
                <w:b/>
                <w:color w:val="000000"/>
                <w:sz w:val="22"/>
                <w:szCs w:val="22"/>
              </w:rPr>
            </w:pPr>
            <w:r w:rsidRPr="009F7CED">
              <w:rPr>
                <w:rFonts w:cs="Arial"/>
                <w:b/>
                <w:color w:val="000000"/>
                <w:sz w:val="22"/>
                <w:szCs w:val="22"/>
              </w:rPr>
              <w:t xml:space="preserve">IMPACTO ECONÓMICO </w:t>
            </w:r>
          </w:p>
          <w:p w14:paraId="010C2CC1" w14:textId="77777777" w:rsidR="0063528C" w:rsidRDefault="0063528C" w:rsidP="0063528C">
            <w:pPr>
              <w:rPr>
                <w:rFonts w:cs="Arial"/>
                <w:b/>
                <w:color w:val="000000"/>
                <w:sz w:val="22"/>
                <w:szCs w:val="22"/>
              </w:rPr>
            </w:pPr>
          </w:p>
          <w:p w14:paraId="30FB91E2" w14:textId="77777777" w:rsidR="0063528C" w:rsidRDefault="0063528C" w:rsidP="0063528C">
            <w:pPr>
              <w:jc w:val="both"/>
              <w:rPr>
                <w:rFonts w:cs="Arial"/>
                <w:bCs/>
                <w:color w:val="000000"/>
                <w:sz w:val="22"/>
                <w:szCs w:val="22"/>
              </w:rPr>
            </w:pPr>
            <w:r w:rsidRPr="0063528C">
              <w:rPr>
                <w:rFonts w:cs="Arial"/>
                <w:bCs/>
                <w:color w:val="000000"/>
                <w:sz w:val="22"/>
                <w:szCs w:val="22"/>
              </w:rPr>
              <w:t xml:space="preserve">Desde la perspectiva económica y prudencial, no se identifican impactos sobre la actividad financiera de las entidades vigiladas, la competencia en el mercado, los consumidores financieros o la estabilidad del sistema financiero. No obstante, la implementación del proyecto puede generar costos de carácter operativo y administrativo asociados a la adecuación de los procesos de reporte y transmisión de información financiera. </w:t>
            </w:r>
          </w:p>
          <w:p w14:paraId="495DFDCA" w14:textId="77777777" w:rsidR="0063528C" w:rsidRDefault="0063528C" w:rsidP="0063528C">
            <w:pPr>
              <w:jc w:val="both"/>
              <w:rPr>
                <w:rFonts w:cs="Arial"/>
                <w:bCs/>
                <w:color w:val="000000"/>
                <w:sz w:val="22"/>
                <w:szCs w:val="22"/>
              </w:rPr>
            </w:pPr>
          </w:p>
          <w:p w14:paraId="4A7B8478" w14:textId="3E186817" w:rsidR="00843EFF" w:rsidRDefault="0063528C" w:rsidP="0063528C">
            <w:pPr>
              <w:jc w:val="both"/>
              <w:rPr>
                <w:rFonts w:cs="Arial"/>
                <w:bCs/>
                <w:color w:val="000000"/>
                <w:sz w:val="22"/>
                <w:szCs w:val="22"/>
              </w:rPr>
            </w:pPr>
            <w:r w:rsidRPr="0063528C">
              <w:rPr>
                <w:rFonts w:cs="Arial"/>
                <w:bCs/>
                <w:color w:val="000000"/>
                <w:sz w:val="22"/>
                <w:szCs w:val="22"/>
              </w:rPr>
              <w:t>En efecto, las entidades deberán realizar ajustes en sus sistemas de información, procesos internos y plataformas tecnológicas, con el fin de adecuar la generación, validación y transmisión de la información financiera a la nueva estructura del CUIF de diez (10) dígitos. Así mismo, podrán requerirse actividades de capacitación, actualización documental y ajustes en los controles asociados a los procesos de reporte regulatorio.</w:t>
            </w:r>
          </w:p>
          <w:p w14:paraId="24ABA4D3" w14:textId="77777777" w:rsidR="0063528C" w:rsidRDefault="0063528C" w:rsidP="0063528C">
            <w:pPr>
              <w:jc w:val="both"/>
              <w:rPr>
                <w:rFonts w:cs="Arial"/>
                <w:bCs/>
                <w:color w:val="000000"/>
                <w:sz w:val="22"/>
                <w:szCs w:val="22"/>
              </w:rPr>
            </w:pPr>
          </w:p>
          <w:p w14:paraId="71A75E30" w14:textId="28D05A8A" w:rsidR="0063528C" w:rsidRDefault="0051565D" w:rsidP="0063528C">
            <w:pPr>
              <w:jc w:val="both"/>
              <w:rPr>
                <w:rFonts w:cs="Arial"/>
                <w:bCs/>
                <w:color w:val="000000"/>
                <w:sz w:val="22"/>
                <w:szCs w:val="22"/>
              </w:rPr>
            </w:pPr>
            <w:r w:rsidRPr="0051565D">
              <w:rPr>
                <w:rFonts w:cs="Arial"/>
                <w:bCs/>
                <w:color w:val="000000"/>
                <w:sz w:val="22"/>
                <w:szCs w:val="22"/>
              </w:rPr>
              <w:t xml:space="preserve">Además, en relación con </w:t>
            </w:r>
            <w:r w:rsidR="00664507">
              <w:rPr>
                <w:rFonts w:cs="Arial"/>
                <w:bCs/>
                <w:color w:val="000000"/>
                <w:sz w:val="22"/>
                <w:szCs w:val="22"/>
              </w:rPr>
              <w:t xml:space="preserve">el </w:t>
            </w:r>
            <w:r w:rsidR="00664507" w:rsidRPr="00664507">
              <w:rPr>
                <w:rFonts w:cs="Arial"/>
                <w:bCs/>
                <w:color w:val="000000"/>
                <w:sz w:val="22"/>
                <w:szCs w:val="22"/>
              </w:rPr>
              <w:t>análisis económico, financiero, fiscal o administrativo de los</w:t>
            </w:r>
            <w:r w:rsidR="00664507">
              <w:rPr>
                <w:rFonts w:cs="Arial"/>
                <w:bCs/>
                <w:color w:val="000000"/>
                <w:sz w:val="22"/>
                <w:szCs w:val="22"/>
              </w:rPr>
              <w:t xml:space="preserve"> </w:t>
            </w:r>
            <w:r w:rsidR="00664507" w:rsidRPr="00664507">
              <w:rPr>
                <w:rFonts w:cs="Arial"/>
                <w:bCs/>
                <w:color w:val="000000"/>
                <w:sz w:val="22"/>
                <w:szCs w:val="22"/>
              </w:rPr>
              <w:t>posibles efectos</w:t>
            </w:r>
            <w:r w:rsidR="00664507">
              <w:rPr>
                <w:rFonts w:cs="Arial"/>
                <w:bCs/>
                <w:color w:val="000000"/>
                <w:sz w:val="22"/>
                <w:szCs w:val="22"/>
              </w:rPr>
              <w:t xml:space="preserve"> del </w:t>
            </w:r>
            <w:r w:rsidRPr="0051565D">
              <w:rPr>
                <w:rFonts w:cs="Arial"/>
                <w:bCs/>
                <w:color w:val="000000"/>
                <w:sz w:val="22"/>
                <w:szCs w:val="22"/>
              </w:rPr>
              <w:t xml:space="preserve">proyecto, la Subdirección de </w:t>
            </w:r>
            <w:r w:rsidR="003F6810">
              <w:rPr>
                <w:rFonts w:cs="Arial"/>
                <w:bCs/>
                <w:color w:val="000000"/>
                <w:sz w:val="22"/>
                <w:szCs w:val="22"/>
              </w:rPr>
              <w:t xml:space="preserve">Investigación y Análisis </w:t>
            </w:r>
            <w:r w:rsidRPr="0051565D">
              <w:rPr>
                <w:rFonts w:cs="Arial"/>
                <w:bCs/>
                <w:color w:val="000000"/>
                <w:sz w:val="22"/>
                <w:szCs w:val="22"/>
              </w:rPr>
              <w:t>se pronunció mediante el radicado No. 2025050733-08</w:t>
            </w:r>
            <w:r w:rsidR="003F6810">
              <w:rPr>
                <w:rFonts w:cs="Arial"/>
                <w:bCs/>
                <w:color w:val="000000"/>
                <w:sz w:val="22"/>
                <w:szCs w:val="22"/>
              </w:rPr>
              <w:t>3</w:t>
            </w:r>
            <w:r w:rsidRPr="0051565D">
              <w:rPr>
                <w:rFonts w:cs="Arial"/>
                <w:bCs/>
                <w:color w:val="000000"/>
                <w:sz w:val="22"/>
                <w:szCs w:val="22"/>
              </w:rPr>
              <w:t xml:space="preserve"> del </w:t>
            </w:r>
            <w:r w:rsidR="003F6810">
              <w:rPr>
                <w:rFonts w:cs="Arial"/>
                <w:bCs/>
                <w:color w:val="000000"/>
                <w:sz w:val="22"/>
                <w:szCs w:val="22"/>
              </w:rPr>
              <w:t>6</w:t>
            </w:r>
            <w:r w:rsidRPr="0051565D">
              <w:rPr>
                <w:rFonts w:cs="Arial"/>
                <w:bCs/>
                <w:color w:val="000000"/>
                <w:sz w:val="22"/>
                <w:szCs w:val="22"/>
              </w:rPr>
              <w:t xml:space="preserve"> de julio de 2026, en el marco de lo previsto en el artículo 2.1.2.3.3 del Decreto 1081 de 2015, incorporado por el Decreto 385 de 2026, señalando que </w:t>
            </w:r>
            <w:r w:rsidR="0063528C" w:rsidRPr="0063528C">
              <w:rPr>
                <w:rFonts w:cs="Arial"/>
                <w:bCs/>
                <w:color w:val="000000"/>
                <w:sz w:val="22"/>
                <w:szCs w:val="22"/>
              </w:rPr>
              <w:t>debe tenerse en cuenta que el principal esfuerzo de transformación en materia contable y de reportes fue realizado por las entidades vigiladas en el año 2014, con ocasión de la expedición de la Circular Externa 021 de ese año, mediante la cual se efectuó la transición desde el antiguo Plan Único de Cuentas (PUC) hacia las NIIF. Desde entonces, la Superintendencia Financiera de Colombia ha introducido modificaciones periódicas al CUIF con el propósito de incorporar los cambios normativos derivados de las NIIF y de los requerimientos prudenciales, razón por la cual las entidades cuentan con experiencia previa en este tipo de ajustes regulatorios. En consecuencia, los desarrollos requeridos corresponden principalmente a actualizaciones y adecuaciones de procesos y sistemas existentes, más que a la creación de nuevas capacidades operativas.</w:t>
            </w:r>
          </w:p>
          <w:p w14:paraId="71F979D8" w14:textId="77777777" w:rsidR="00507BC6" w:rsidRDefault="00507BC6" w:rsidP="0063528C">
            <w:pPr>
              <w:jc w:val="both"/>
              <w:rPr>
                <w:rFonts w:cs="Arial"/>
                <w:bCs/>
                <w:color w:val="000000"/>
                <w:sz w:val="22"/>
                <w:szCs w:val="22"/>
              </w:rPr>
            </w:pPr>
          </w:p>
          <w:p w14:paraId="569ACD61" w14:textId="101F8C67" w:rsidR="00507BC6" w:rsidRPr="005C7458" w:rsidRDefault="00507BC6" w:rsidP="00507BC6">
            <w:pPr>
              <w:jc w:val="both"/>
              <w:rPr>
                <w:rFonts w:cs="Arial"/>
                <w:color w:val="000000"/>
                <w:sz w:val="22"/>
                <w:szCs w:val="22"/>
              </w:rPr>
            </w:pPr>
            <w:r w:rsidRPr="33BF7AF8">
              <w:rPr>
                <w:rFonts w:cs="Arial"/>
                <w:color w:val="000000" w:themeColor="text1"/>
                <w:sz w:val="22"/>
                <w:szCs w:val="22"/>
              </w:rPr>
              <w:t xml:space="preserve">Por otro lado, </w:t>
            </w:r>
            <w:r>
              <w:rPr>
                <w:rFonts w:cs="Arial"/>
                <w:color w:val="000000" w:themeColor="text1"/>
                <w:sz w:val="22"/>
                <w:szCs w:val="22"/>
              </w:rPr>
              <w:t>la</w:t>
            </w:r>
            <w:r w:rsidR="00015AC2">
              <w:rPr>
                <w:rFonts w:cs="Arial"/>
                <w:color w:val="000000" w:themeColor="text1"/>
                <w:sz w:val="22"/>
                <w:szCs w:val="22"/>
              </w:rPr>
              <w:t xml:space="preserve"> referida</w:t>
            </w:r>
            <w:r>
              <w:rPr>
                <w:rFonts w:cs="Arial"/>
                <w:color w:val="000000" w:themeColor="text1"/>
                <w:sz w:val="22"/>
                <w:szCs w:val="22"/>
              </w:rPr>
              <w:t xml:space="preserve"> </w:t>
            </w:r>
            <w:r w:rsidR="009F49C2">
              <w:rPr>
                <w:rFonts w:cs="Arial"/>
                <w:color w:val="000000" w:themeColor="text1"/>
                <w:sz w:val="22"/>
                <w:szCs w:val="22"/>
              </w:rPr>
              <w:t xml:space="preserve">Subdirección </w:t>
            </w:r>
            <w:r w:rsidR="00015AC2">
              <w:rPr>
                <w:rFonts w:cs="Arial"/>
                <w:color w:val="000000" w:themeColor="text1"/>
                <w:sz w:val="22"/>
                <w:szCs w:val="22"/>
              </w:rPr>
              <w:t xml:space="preserve">mencionó que </w:t>
            </w:r>
            <w:r w:rsidRPr="33BF7AF8">
              <w:rPr>
                <w:rFonts w:cs="Arial"/>
                <w:color w:val="000000" w:themeColor="text1"/>
                <w:sz w:val="22"/>
                <w:szCs w:val="22"/>
              </w:rPr>
              <w:t xml:space="preserve">se espera que los beneficios asociados a una mayor granularidad, calidad, consistencia y comparabilidad de la información financiera utilizada para fines de supervisión superen los costos operativos derivados de la implementación de </w:t>
            </w:r>
            <w:r w:rsidRPr="005C7458">
              <w:rPr>
                <w:rFonts w:cs="Arial"/>
                <w:color w:val="000000" w:themeColor="text1"/>
                <w:sz w:val="22"/>
                <w:szCs w:val="22"/>
              </w:rPr>
              <w:t>la medida. En particular, la actualización del CUIF contribuirá a fortalecer la capacidad de supervisión de la SFC y a mejorar la suficiencia, homogeneidad y comparabilidad de la información financiera disponible para los distintos participantes del sistema financiero.</w:t>
            </w:r>
          </w:p>
          <w:p w14:paraId="24331434" w14:textId="77777777" w:rsidR="00507BC6" w:rsidRDefault="00507BC6" w:rsidP="0063528C">
            <w:pPr>
              <w:jc w:val="both"/>
              <w:rPr>
                <w:rFonts w:cs="Arial"/>
                <w:bCs/>
                <w:color w:val="000000"/>
                <w:sz w:val="22"/>
                <w:szCs w:val="22"/>
              </w:rPr>
            </w:pPr>
          </w:p>
          <w:p w14:paraId="7F4DBD7E" w14:textId="77777777" w:rsidR="0063528C" w:rsidRDefault="0063528C" w:rsidP="0063528C">
            <w:pPr>
              <w:jc w:val="both"/>
              <w:rPr>
                <w:rFonts w:cs="Arial"/>
                <w:bCs/>
                <w:color w:val="000000"/>
                <w:sz w:val="22"/>
                <w:szCs w:val="22"/>
              </w:rPr>
            </w:pPr>
          </w:p>
          <w:p w14:paraId="09B18DBF" w14:textId="7DE70AF6" w:rsidR="0063528C" w:rsidRDefault="0063528C" w:rsidP="0063528C">
            <w:pPr>
              <w:jc w:val="both"/>
              <w:rPr>
                <w:rFonts w:cs="Arial"/>
                <w:bCs/>
                <w:color w:val="000000"/>
                <w:sz w:val="22"/>
                <w:szCs w:val="22"/>
              </w:rPr>
            </w:pPr>
            <w:r w:rsidRPr="0063528C">
              <w:rPr>
                <w:rFonts w:cs="Arial"/>
                <w:bCs/>
                <w:color w:val="000000"/>
                <w:sz w:val="22"/>
                <w:szCs w:val="22"/>
              </w:rPr>
              <w:t xml:space="preserve">Adicionalmente, </w:t>
            </w:r>
            <w:r w:rsidR="00015AC2">
              <w:rPr>
                <w:rFonts w:cs="Arial"/>
                <w:bCs/>
                <w:color w:val="000000"/>
                <w:sz w:val="22"/>
                <w:szCs w:val="22"/>
              </w:rPr>
              <w:t xml:space="preserve">es pertinente señalar que </w:t>
            </w:r>
            <w:r w:rsidRPr="0063528C">
              <w:rPr>
                <w:rFonts w:cs="Arial"/>
                <w:bCs/>
                <w:color w:val="000000"/>
                <w:sz w:val="22"/>
                <w:szCs w:val="22"/>
              </w:rPr>
              <w:t>el proyecto normativo contempla plazos de implementación graduales y suficientes para la realización de los desarrollos requeridos, atendiendo las solicitudes formuladas por las entidades vigiladas durante las mesas de trabajo y el proceso de comentarios externos, lo cual contribuye a mitigar los impactos operativos asociados a su adopción y facilita una implementación ordenada de los nuevos requerimientos</w:t>
            </w:r>
            <w:r>
              <w:rPr>
                <w:rFonts w:cs="Arial"/>
                <w:bCs/>
                <w:color w:val="000000"/>
                <w:sz w:val="22"/>
                <w:szCs w:val="22"/>
              </w:rPr>
              <w:t xml:space="preserve">, de la siguiente manera: </w:t>
            </w:r>
          </w:p>
          <w:p w14:paraId="3F744CFA" w14:textId="77777777" w:rsidR="0063528C" w:rsidRDefault="0063528C" w:rsidP="0063528C">
            <w:pPr>
              <w:jc w:val="both"/>
              <w:rPr>
                <w:rFonts w:cs="Arial"/>
                <w:bCs/>
                <w:color w:val="000000"/>
                <w:sz w:val="22"/>
                <w:szCs w:val="22"/>
              </w:rPr>
            </w:pPr>
          </w:p>
          <w:p w14:paraId="4783A42C" w14:textId="77777777" w:rsidR="0063528C" w:rsidRPr="0063528C" w:rsidRDefault="0063528C" w:rsidP="00EF598C">
            <w:pPr>
              <w:numPr>
                <w:ilvl w:val="0"/>
                <w:numId w:val="1"/>
              </w:numPr>
              <w:jc w:val="both"/>
              <w:rPr>
                <w:rFonts w:cs="Arial"/>
                <w:bCs/>
                <w:color w:val="000000"/>
                <w:sz w:val="22"/>
                <w:szCs w:val="22"/>
                <w:lang w:val="es-CO"/>
              </w:rPr>
            </w:pPr>
            <w:r w:rsidRPr="0063528C">
              <w:rPr>
                <w:rFonts w:cs="Arial"/>
                <w:bCs/>
                <w:color w:val="000000"/>
                <w:sz w:val="22"/>
                <w:szCs w:val="22"/>
                <w:lang w:val="es-CO"/>
              </w:rPr>
              <w:t>2 años para la industria aseguradora, en cumplimiento de los Decretos 217 y 219 de 2026 que modifican los Decretos 1271 y 1272 de 2024. </w:t>
            </w:r>
          </w:p>
          <w:p w14:paraId="203E06CD" w14:textId="77777777" w:rsidR="0063528C" w:rsidRPr="0063528C" w:rsidRDefault="0063528C" w:rsidP="0063528C">
            <w:pPr>
              <w:jc w:val="both"/>
              <w:rPr>
                <w:rFonts w:cs="Arial"/>
                <w:bCs/>
                <w:color w:val="000000"/>
                <w:sz w:val="22"/>
                <w:szCs w:val="22"/>
                <w:lang w:val="es-CO"/>
              </w:rPr>
            </w:pPr>
            <w:r w:rsidRPr="0063528C">
              <w:rPr>
                <w:rFonts w:cs="Arial"/>
                <w:bCs/>
                <w:color w:val="000000"/>
                <w:sz w:val="22"/>
                <w:szCs w:val="22"/>
                <w:lang w:val="es-CO"/>
              </w:rPr>
              <w:t> </w:t>
            </w:r>
          </w:p>
          <w:p w14:paraId="06979FA6" w14:textId="77777777" w:rsidR="0063528C" w:rsidRPr="0063528C" w:rsidRDefault="0063528C" w:rsidP="00EF598C">
            <w:pPr>
              <w:numPr>
                <w:ilvl w:val="0"/>
                <w:numId w:val="3"/>
              </w:numPr>
              <w:jc w:val="both"/>
              <w:rPr>
                <w:rFonts w:cs="Arial"/>
                <w:bCs/>
                <w:color w:val="000000"/>
                <w:sz w:val="22"/>
                <w:szCs w:val="22"/>
                <w:lang w:val="es-CO"/>
              </w:rPr>
            </w:pPr>
            <w:r w:rsidRPr="0063528C">
              <w:rPr>
                <w:rFonts w:cs="Arial"/>
                <w:bCs/>
                <w:color w:val="000000"/>
                <w:sz w:val="22"/>
                <w:szCs w:val="22"/>
                <w:lang w:val="es-CO"/>
              </w:rPr>
              <w:t>5 años para las entidades vigiladas diferentes a las entidades aseguradoras, de conformidad con el tiempo requerido por la industria en las mesas de trabajo previas a la elaboración del proyecto de circular externa.  </w:t>
            </w:r>
          </w:p>
          <w:p w14:paraId="6FEFC61F" w14:textId="47BB615D" w:rsidR="33BF7AF8" w:rsidRPr="005C7458" w:rsidRDefault="33BF7AF8" w:rsidP="33BF7AF8">
            <w:pPr>
              <w:jc w:val="both"/>
              <w:rPr>
                <w:rFonts w:cs="Arial"/>
                <w:color w:val="000000" w:themeColor="text1"/>
                <w:sz w:val="22"/>
                <w:szCs w:val="22"/>
              </w:rPr>
            </w:pPr>
          </w:p>
          <w:p w14:paraId="177014A9" w14:textId="1801EFCE" w:rsidR="3D9B7F35" w:rsidRPr="005C7458" w:rsidRDefault="3D9B7F35" w:rsidP="00221403">
            <w:pPr>
              <w:jc w:val="both"/>
              <w:rPr>
                <w:rFonts w:cs="Arial"/>
                <w:color w:val="000000" w:themeColor="text1"/>
                <w:sz w:val="22"/>
                <w:szCs w:val="22"/>
              </w:rPr>
            </w:pPr>
            <w:r w:rsidRPr="005C7458">
              <w:rPr>
                <w:rFonts w:cs="Arial"/>
                <w:color w:val="000000" w:themeColor="text1"/>
                <w:sz w:val="22"/>
                <w:szCs w:val="22"/>
              </w:rPr>
              <w:t xml:space="preserve">Además, </w:t>
            </w:r>
            <w:r w:rsidR="00283CE7">
              <w:rPr>
                <w:sz w:val="22"/>
                <w:szCs w:val="22"/>
                <w:lang w:eastAsia="es-CO"/>
              </w:rPr>
              <w:t>e</w:t>
            </w:r>
            <w:r w:rsidR="00283CE7" w:rsidRPr="00300B85">
              <w:rPr>
                <w:sz w:val="22"/>
                <w:szCs w:val="22"/>
                <w:lang w:eastAsia="es-CO"/>
              </w:rPr>
              <w:t xml:space="preserve">n relación con </w:t>
            </w:r>
            <w:r w:rsidR="005C7D11">
              <w:rPr>
                <w:sz w:val="22"/>
                <w:szCs w:val="22"/>
                <w:lang w:eastAsia="es-CO"/>
              </w:rPr>
              <w:t>el</w:t>
            </w:r>
            <w:r w:rsidR="00283CE7" w:rsidRPr="00300B85">
              <w:rPr>
                <w:sz w:val="22"/>
                <w:szCs w:val="22"/>
                <w:lang w:eastAsia="es-CO"/>
              </w:rPr>
              <w:t xml:space="preserve"> posible </w:t>
            </w:r>
            <w:r w:rsidR="005C7D11" w:rsidRPr="005C7D11">
              <w:rPr>
                <w:sz w:val="22"/>
                <w:szCs w:val="22"/>
                <w:lang w:eastAsia="es-CO"/>
              </w:rPr>
              <w:t>impacto tecnológico del proyecto, así como sobre la capacidad y los tiempos de implementación asociados al referido proyecto normativo</w:t>
            </w:r>
            <w:r w:rsidR="00283CE7" w:rsidRPr="00300B85">
              <w:rPr>
                <w:sz w:val="22"/>
                <w:szCs w:val="22"/>
                <w:lang w:eastAsia="es-CO"/>
              </w:rPr>
              <w:t xml:space="preserve">, la </w:t>
            </w:r>
            <w:r w:rsidR="00F81F5F">
              <w:rPr>
                <w:rFonts w:cs="Arial"/>
                <w:color w:val="000000" w:themeColor="text1"/>
                <w:sz w:val="22"/>
                <w:szCs w:val="22"/>
              </w:rPr>
              <w:t>Subdirección de Desarrollo Digital</w:t>
            </w:r>
            <w:r w:rsidR="005C7D11" w:rsidRPr="005C7458">
              <w:rPr>
                <w:rFonts w:cs="Arial"/>
                <w:color w:val="000000" w:themeColor="text1"/>
                <w:sz w:val="22"/>
                <w:szCs w:val="22"/>
              </w:rPr>
              <w:t xml:space="preserve"> </w:t>
            </w:r>
            <w:r w:rsidR="00283CE7" w:rsidRPr="00300B85">
              <w:rPr>
                <w:sz w:val="22"/>
                <w:szCs w:val="22"/>
                <w:lang w:eastAsia="es-CO"/>
              </w:rPr>
              <w:t xml:space="preserve">se pronunció mediante el radicado No. </w:t>
            </w:r>
            <w:r w:rsidR="00283CE7" w:rsidRPr="00974D80">
              <w:rPr>
                <w:sz w:val="22"/>
                <w:szCs w:val="22"/>
                <w:lang w:eastAsia="es-CO"/>
              </w:rPr>
              <w:t>2025050733-08</w:t>
            </w:r>
            <w:r w:rsidR="002D25EF">
              <w:rPr>
                <w:sz w:val="22"/>
                <w:szCs w:val="22"/>
                <w:lang w:eastAsia="es-CO"/>
              </w:rPr>
              <w:t>6</w:t>
            </w:r>
            <w:r w:rsidR="00283CE7">
              <w:rPr>
                <w:sz w:val="22"/>
                <w:szCs w:val="22"/>
                <w:lang w:eastAsia="es-CO"/>
              </w:rPr>
              <w:t xml:space="preserve"> </w:t>
            </w:r>
            <w:r w:rsidR="00283CE7" w:rsidRPr="00300B85">
              <w:rPr>
                <w:sz w:val="22"/>
                <w:szCs w:val="22"/>
                <w:lang w:eastAsia="es-CO"/>
              </w:rPr>
              <w:t>del 1</w:t>
            </w:r>
            <w:r w:rsidR="00283CE7">
              <w:rPr>
                <w:sz w:val="22"/>
                <w:szCs w:val="22"/>
                <w:lang w:eastAsia="es-CO"/>
              </w:rPr>
              <w:t>7</w:t>
            </w:r>
            <w:r w:rsidR="00283CE7" w:rsidRPr="00300B85">
              <w:rPr>
                <w:sz w:val="22"/>
                <w:szCs w:val="22"/>
                <w:lang w:eastAsia="es-CO"/>
              </w:rPr>
              <w:t xml:space="preserve"> de julio de 2026, en el marco de lo previsto en el artículo 2.1.2.3.3 del Decreto 1081 de 2015, incorporado por el Decreto 385 de 2026, señalando que </w:t>
            </w:r>
            <w:r w:rsidR="00221403" w:rsidRPr="005C7458">
              <w:rPr>
                <w:rFonts w:cs="Arial"/>
                <w:color w:val="000000" w:themeColor="text1"/>
                <w:sz w:val="22"/>
                <w:szCs w:val="22"/>
              </w:rPr>
              <w:t>el alcance del desarrollo se orienta a ampliar la estructura de codificación del CUIF de 6 a 10 dígitos, así como a fortalecer la trazabilidad y validación de la información reportada por las entidades vigiladas. Estas modificaciones constituyen una evolución del sistema existente y requieren actividades de análisis funcional, desarrollo, pruebas, ajustes y</w:t>
            </w:r>
            <w:r w:rsidR="005C7458">
              <w:rPr>
                <w:rFonts w:cs="Arial"/>
                <w:color w:val="000000" w:themeColor="text1"/>
                <w:sz w:val="22"/>
                <w:szCs w:val="22"/>
              </w:rPr>
              <w:t xml:space="preserve"> </w:t>
            </w:r>
            <w:r w:rsidR="00221403" w:rsidRPr="005C7458">
              <w:rPr>
                <w:rFonts w:cs="Arial"/>
                <w:color w:val="000000" w:themeColor="text1"/>
                <w:sz w:val="22"/>
                <w:szCs w:val="22"/>
              </w:rPr>
              <w:t>puesta en producción, en coordinación con la Delegatura para Seguros.</w:t>
            </w:r>
          </w:p>
          <w:p w14:paraId="0E37F09F" w14:textId="77777777" w:rsidR="004463E2" w:rsidRPr="005C7458" w:rsidRDefault="004463E2" w:rsidP="00221403">
            <w:pPr>
              <w:jc w:val="both"/>
              <w:rPr>
                <w:rFonts w:cs="Arial"/>
                <w:color w:val="000000" w:themeColor="text1"/>
                <w:sz w:val="22"/>
                <w:szCs w:val="22"/>
              </w:rPr>
            </w:pPr>
          </w:p>
          <w:p w14:paraId="287DD569" w14:textId="77777777" w:rsidR="0063528C" w:rsidRDefault="004463E2" w:rsidP="001D2100">
            <w:pPr>
              <w:jc w:val="both"/>
              <w:rPr>
                <w:rFonts w:cs="Arial"/>
                <w:color w:val="000000" w:themeColor="text1"/>
                <w:sz w:val="22"/>
                <w:szCs w:val="22"/>
              </w:rPr>
            </w:pPr>
            <w:r w:rsidRPr="005C7458">
              <w:rPr>
                <w:rFonts w:cs="Arial"/>
                <w:color w:val="000000" w:themeColor="text1"/>
                <w:sz w:val="22"/>
                <w:szCs w:val="22"/>
              </w:rPr>
              <w:t xml:space="preserve">En ese sentido, </w:t>
            </w:r>
            <w:r w:rsidR="00D74993" w:rsidRPr="005C7458">
              <w:rPr>
                <w:rFonts w:cs="Arial"/>
                <w:color w:val="000000" w:themeColor="text1"/>
                <w:sz w:val="22"/>
                <w:szCs w:val="22"/>
              </w:rPr>
              <w:t>las modificaciones requeridas no implican la</w:t>
            </w:r>
            <w:r w:rsidR="00083FEF" w:rsidRPr="005C7458">
              <w:rPr>
                <w:rFonts w:cs="Arial"/>
                <w:color w:val="000000" w:themeColor="text1"/>
                <w:sz w:val="22"/>
                <w:szCs w:val="22"/>
              </w:rPr>
              <w:t xml:space="preserve"> </w:t>
            </w:r>
            <w:r w:rsidR="00D74993" w:rsidRPr="005C7458">
              <w:rPr>
                <w:rFonts w:cs="Arial"/>
                <w:color w:val="000000" w:themeColor="text1"/>
                <w:sz w:val="22"/>
                <w:szCs w:val="22"/>
              </w:rPr>
              <w:t>adquisición de nuevas plataformas ni la implementación de soluciones tecnológicas</w:t>
            </w:r>
            <w:r w:rsidR="00083FEF" w:rsidRPr="005C7458">
              <w:rPr>
                <w:rFonts w:cs="Arial"/>
                <w:color w:val="000000" w:themeColor="text1"/>
                <w:sz w:val="22"/>
                <w:szCs w:val="22"/>
              </w:rPr>
              <w:t xml:space="preserve"> </w:t>
            </w:r>
            <w:r w:rsidR="00D74993" w:rsidRPr="005C7458">
              <w:rPr>
                <w:rFonts w:cs="Arial"/>
                <w:color w:val="000000" w:themeColor="text1"/>
                <w:sz w:val="22"/>
                <w:szCs w:val="22"/>
              </w:rPr>
              <w:t>independientes. En consecuencia, no se identifican apropiaciones presupuestales adicionales,</w:t>
            </w:r>
            <w:r w:rsidR="00083FEF" w:rsidRPr="005C7458">
              <w:rPr>
                <w:rFonts w:cs="Arial"/>
                <w:color w:val="000000" w:themeColor="text1"/>
                <w:sz w:val="22"/>
                <w:szCs w:val="22"/>
              </w:rPr>
              <w:t xml:space="preserve"> </w:t>
            </w:r>
            <w:r w:rsidR="00D74993" w:rsidRPr="005C7458">
              <w:rPr>
                <w:rFonts w:cs="Arial"/>
                <w:color w:val="000000" w:themeColor="text1"/>
                <w:sz w:val="22"/>
                <w:szCs w:val="22"/>
              </w:rPr>
              <w:t>dado que los desarrollos pueden ser atendidos con las capacidades técnicas</w:t>
            </w:r>
            <w:r w:rsidR="00083FEF" w:rsidRPr="005C7458">
              <w:rPr>
                <w:rFonts w:cs="Arial"/>
                <w:color w:val="000000" w:themeColor="text1"/>
                <w:sz w:val="22"/>
                <w:szCs w:val="22"/>
              </w:rPr>
              <w:t xml:space="preserve"> </w:t>
            </w:r>
            <w:r w:rsidR="00D74993" w:rsidRPr="005C7458">
              <w:rPr>
                <w:rFonts w:cs="Arial"/>
                <w:color w:val="000000" w:themeColor="text1"/>
                <w:sz w:val="22"/>
                <w:szCs w:val="22"/>
              </w:rPr>
              <w:t xml:space="preserve">existentes. </w:t>
            </w:r>
            <w:r w:rsidR="00EB32A2" w:rsidRPr="005C7458">
              <w:rPr>
                <w:rFonts w:cs="Arial"/>
                <w:color w:val="000000" w:themeColor="text1"/>
                <w:sz w:val="22"/>
                <w:szCs w:val="22"/>
              </w:rPr>
              <w:t>No obstante, su ejecución requiere la asignación de recursos internos y esfuerzo técnico de los equipos de desarrollo, pruebas y soporte, lo cual representa un impacto operativo.</w:t>
            </w:r>
            <w:r w:rsidR="00862273" w:rsidRPr="005C7458">
              <w:rPr>
                <w:rFonts w:cs="Arial"/>
                <w:color w:val="000000" w:themeColor="text1"/>
                <w:sz w:val="22"/>
                <w:szCs w:val="22"/>
              </w:rPr>
              <w:t xml:space="preserve"> Por ese motivo, </w:t>
            </w:r>
            <w:r w:rsidR="00F13CF3" w:rsidRPr="005C7458">
              <w:rPr>
                <w:rFonts w:cs="Arial"/>
                <w:color w:val="000000" w:themeColor="text1"/>
                <w:sz w:val="22"/>
                <w:szCs w:val="22"/>
              </w:rPr>
              <w:t xml:space="preserve">se </w:t>
            </w:r>
            <w:r w:rsidR="004D1FBB" w:rsidRPr="005C7458">
              <w:rPr>
                <w:rFonts w:cs="Arial"/>
                <w:color w:val="000000" w:themeColor="text1"/>
                <w:sz w:val="22"/>
                <w:szCs w:val="22"/>
              </w:rPr>
              <w:t xml:space="preserve">consideró viable </w:t>
            </w:r>
            <w:r w:rsidR="009C590A" w:rsidRPr="005C7458">
              <w:rPr>
                <w:rFonts w:cs="Arial"/>
                <w:color w:val="000000" w:themeColor="text1"/>
                <w:sz w:val="22"/>
                <w:szCs w:val="22"/>
              </w:rPr>
              <w:t>establecer las fechas de implementación previamente mencionadas</w:t>
            </w:r>
            <w:r w:rsidR="0013215D" w:rsidRPr="005C7458">
              <w:rPr>
                <w:rFonts w:cs="Arial"/>
                <w:color w:val="000000" w:themeColor="text1"/>
                <w:sz w:val="22"/>
                <w:szCs w:val="22"/>
              </w:rPr>
              <w:t>,</w:t>
            </w:r>
            <w:r w:rsidR="009C590A" w:rsidRPr="005C7458">
              <w:rPr>
                <w:rFonts w:cs="Arial"/>
                <w:color w:val="000000" w:themeColor="text1"/>
                <w:sz w:val="22"/>
                <w:szCs w:val="22"/>
              </w:rPr>
              <w:t xml:space="preserve"> así como</w:t>
            </w:r>
            <w:r w:rsidR="0013215D" w:rsidRPr="005C7458">
              <w:rPr>
                <w:rFonts w:cs="Arial"/>
                <w:color w:val="000000" w:themeColor="text1"/>
                <w:sz w:val="22"/>
                <w:szCs w:val="22"/>
              </w:rPr>
              <w:t xml:space="preserve"> el plazo de un mes </w:t>
            </w:r>
            <w:r w:rsidR="00806771" w:rsidRPr="005C7458">
              <w:rPr>
                <w:rFonts w:cs="Arial"/>
                <w:color w:val="000000" w:themeColor="text1"/>
                <w:sz w:val="22"/>
                <w:szCs w:val="22"/>
              </w:rPr>
              <w:t>(entre octubre y noviembre de 2027) para que las entidades a</w:t>
            </w:r>
            <w:r w:rsidR="0013215D" w:rsidRPr="005C7458">
              <w:rPr>
                <w:rFonts w:cs="Arial"/>
                <w:color w:val="000000" w:themeColor="text1"/>
                <w:sz w:val="22"/>
                <w:szCs w:val="22"/>
              </w:rPr>
              <w:t>seguradoras</w:t>
            </w:r>
            <w:r w:rsidR="00806771" w:rsidRPr="005C7458">
              <w:rPr>
                <w:rFonts w:cs="Arial"/>
                <w:color w:val="000000" w:themeColor="text1"/>
                <w:sz w:val="22"/>
                <w:szCs w:val="22"/>
              </w:rPr>
              <w:t xml:space="preserve"> </w:t>
            </w:r>
            <w:r w:rsidR="00656A24" w:rsidRPr="005C7458">
              <w:rPr>
                <w:rFonts w:cs="Arial"/>
                <w:color w:val="000000" w:themeColor="text1"/>
                <w:sz w:val="22"/>
                <w:szCs w:val="22"/>
              </w:rPr>
              <w:t>adelanten las pruebas,</w:t>
            </w:r>
            <w:r w:rsidR="0013215D" w:rsidRPr="005C7458">
              <w:rPr>
                <w:rFonts w:cs="Arial"/>
                <w:color w:val="000000" w:themeColor="text1"/>
                <w:sz w:val="22"/>
                <w:szCs w:val="22"/>
              </w:rPr>
              <w:t xml:space="preserve"> </w:t>
            </w:r>
            <w:r w:rsidR="00656A24" w:rsidRPr="005C7458">
              <w:rPr>
                <w:rFonts w:cs="Arial"/>
                <w:color w:val="000000" w:themeColor="text1"/>
                <w:sz w:val="22"/>
                <w:szCs w:val="22"/>
              </w:rPr>
              <w:t xml:space="preserve">dado que representa un ajuste aproximado de un mes frente al período inicialmente previsto para septiembre de 2027, y permite evitar que el texto normativo establezca una fecha que no corresponda con la capacidad técnica disponible. </w:t>
            </w:r>
            <w:r w:rsidR="009F4956" w:rsidRPr="005C7458">
              <w:rPr>
                <w:rFonts w:cs="Arial"/>
                <w:color w:val="000000" w:themeColor="text1"/>
                <w:sz w:val="22"/>
                <w:szCs w:val="22"/>
              </w:rPr>
              <w:t xml:space="preserve">Asimismo, </w:t>
            </w:r>
            <w:r w:rsidR="00976331" w:rsidRPr="005C7458">
              <w:rPr>
                <w:rFonts w:cs="Arial"/>
                <w:color w:val="000000" w:themeColor="text1"/>
                <w:sz w:val="22"/>
                <w:szCs w:val="22"/>
              </w:rPr>
              <w:t xml:space="preserve">se evaluó que el tiempo de 3 meses de antelación para la solicitud de aplicación anticipada </w:t>
            </w:r>
            <w:r w:rsidR="001D2100" w:rsidRPr="005C7458">
              <w:rPr>
                <w:rFonts w:cs="Arial"/>
                <w:color w:val="000000" w:themeColor="text1"/>
                <w:sz w:val="22"/>
                <w:szCs w:val="22"/>
              </w:rPr>
              <w:t xml:space="preserve">por parte de las entidades vigiladas diferentes de las aseguradoras, resulta suficiente para que la </w:t>
            </w:r>
            <w:r w:rsidR="006A49DC">
              <w:rPr>
                <w:rFonts w:cs="Arial"/>
                <w:color w:val="000000" w:themeColor="text1"/>
                <w:sz w:val="22"/>
                <w:szCs w:val="22"/>
              </w:rPr>
              <w:t>Dirección de Tecnología</w:t>
            </w:r>
            <w:r w:rsidR="001D2100" w:rsidRPr="005C7458">
              <w:rPr>
                <w:rFonts w:cs="Arial"/>
                <w:color w:val="000000" w:themeColor="text1"/>
                <w:sz w:val="22"/>
                <w:szCs w:val="22"/>
              </w:rPr>
              <w:t xml:space="preserve"> gestione los ajustes técnicos correspondientes</w:t>
            </w:r>
            <w:r w:rsidR="005C7458" w:rsidRPr="005C7458">
              <w:rPr>
                <w:rFonts w:cs="Arial"/>
                <w:color w:val="000000" w:themeColor="text1"/>
                <w:sz w:val="22"/>
                <w:szCs w:val="22"/>
              </w:rPr>
              <w:t>.</w:t>
            </w:r>
            <w:r w:rsidR="005C7458">
              <w:rPr>
                <w:rFonts w:cs="Arial"/>
                <w:color w:val="000000" w:themeColor="text1"/>
                <w:sz w:val="22"/>
                <w:szCs w:val="22"/>
              </w:rPr>
              <w:t xml:space="preserve"> </w:t>
            </w:r>
          </w:p>
          <w:p w14:paraId="6B07AC26" w14:textId="2DAB349F" w:rsidR="006810A0" w:rsidRPr="00EB32A2" w:rsidRDefault="006810A0" w:rsidP="001D2100">
            <w:pPr>
              <w:jc w:val="both"/>
              <w:rPr>
                <w:rFonts w:cs="Arial"/>
                <w:color w:val="000000" w:themeColor="text1"/>
                <w:sz w:val="22"/>
                <w:szCs w:val="22"/>
              </w:rPr>
            </w:pPr>
          </w:p>
        </w:tc>
      </w:tr>
      <w:tr w:rsidR="00DF60FD" w:rsidRPr="009F7CED" w14:paraId="444BB02C" w14:textId="77777777" w:rsidTr="33BF7AF8">
        <w:trPr>
          <w:trHeight w:val="66"/>
        </w:trPr>
        <w:tc>
          <w:tcPr>
            <w:tcW w:w="1077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7A6DB" w14:textId="77777777" w:rsidR="00843EFF" w:rsidRPr="009F7CED" w:rsidRDefault="00843EFF" w:rsidP="00A161B9">
            <w:pPr>
              <w:rPr>
                <w:rFonts w:cs="Arial"/>
                <w:b/>
                <w:color w:val="000000"/>
                <w:sz w:val="22"/>
                <w:szCs w:val="22"/>
              </w:rPr>
            </w:pPr>
          </w:p>
          <w:p w14:paraId="06F8FEB9" w14:textId="51D5BF47" w:rsidR="00DF60FD" w:rsidRPr="009F7CED" w:rsidRDefault="00795C6B" w:rsidP="00EF598C">
            <w:pPr>
              <w:numPr>
                <w:ilvl w:val="0"/>
                <w:numId w:val="2"/>
              </w:numPr>
              <w:rPr>
                <w:rFonts w:cs="Arial"/>
                <w:b/>
                <w:color w:val="000000"/>
                <w:sz w:val="22"/>
                <w:szCs w:val="22"/>
              </w:rPr>
            </w:pPr>
            <w:r>
              <w:rPr>
                <w:rFonts w:cs="Arial"/>
                <w:b/>
                <w:color w:val="000000"/>
                <w:sz w:val="22"/>
                <w:szCs w:val="22"/>
              </w:rPr>
              <w:t xml:space="preserve">VIABILIDAD O </w:t>
            </w:r>
            <w:r w:rsidR="00DF60FD" w:rsidRPr="009F7CED">
              <w:rPr>
                <w:rFonts w:cs="Arial"/>
                <w:b/>
                <w:color w:val="000000"/>
                <w:sz w:val="22"/>
                <w:szCs w:val="22"/>
              </w:rPr>
              <w:t xml:space="preserve">DISPONIBILIDAD PRESUPUESTAL </w:t>
            </w:r>
          </w:p>
          <w:p w14:paraId="46120A32" w14:textId="77777777" w:rsidR="00F44A2E" w:rsidRDefault="00F44A2E" w:rsidP="00F44A2E">
            <w:pPr>
              <w:jc w:val="both"/>
              <w:rPr>
                <w:sz w:val="22"/>
                <w:szCs w:val="22"/>
                <w:lang w:eastAsia="es-CO"/>
              </w:rPr>
            </w:pPr>
          </w:p>
          <w:p w14:paraId="5C47C2CF" w14:textId="767C096D" w:rsidR="00696582" w:rsidRDefault="00300B85" w:rsidP="00F44A2E">
            <w:pPr>
              <w:jc w:val="both"/>
              <w:rPr>
                <w:sz w:val="22"/>
                <w:szCs w:val="22"/>
                <w:lang w:eastAsia="es-CO"/>
              </w:rPr>
            </w:pPr>
            <w:r w:rsidRPr="00300B85">
              <w:rPr>
                <w:sz w:val="22"/>
                <w:szCs w:val="22"/>
                <w:lang w:eastAsia="es-CO"/>
              </w:rPr>
              <w:t xml:space="preserve">En relación con los posibles impactos administrativos y presupuestales, la Subdirección Financiera se pronunció mediante el radicado No. </w:t>
            </w:r>
            <w:r w:rsidR="00974D80" w:rsidRPr="00974D80">
              <w:rPr>
                <w:sz w:val="22"/>
                <w:szCs w:val="22"/>
                <w:lang w:eastAsia="es-CO"/>
              </w:rPr>
              <w:t>2025050733-087</w:t>
            </w:r>
            <w:r w:rsidR="00974D80">
              <w:rPr>
                <w:sz w:val="22"/>
                <w:szCs w:val="22"/>
                <w:lang w:eastAsia="es-CO"/>
              </w:rPr>
              <w:t xml:space="preserve"> </w:t>
            </w:r>
            <w:r w:rsidRPr="00300B85">
              <w:rPr>
                <w:sz w:val="22"/>
                <w:szCs w:val="22"/>
                <w:lang w:eastAsia="es-CO"/>
              </w:rPr>
              <w:t>del 1</w:t>
            </w:r>
            <w:r w:rsidR="00974D80">
              <w:rPr>
                <w:sz w:val="22"/>
                <w:szCs w:val="22"/>
                <w:lang w:eastAsia="es-CO"/>
              </w:rPr>
              <w:t>7</w:t>
            </w:r>
            <w:r w:rsidRPr="00300B85">
              <w:rPr>
                <w:sz w:val="22"/>
                <w:szCs w:val="22"/>
                <w:lang w:eastAsia="es-CO"/>
              </w:rPr>
              <w:t xml:space="preserve"> de julio de 2026, en el marco de lo previsto en el numeral 14 del artículo 2.1.2.3.3 del Decreto 1081 de 2015, incorporado por el Decreto 385 de 2026, señalando que </w:t>
            </w:r>
            <w:r w:rsidR="00974D80">
              <w:rPr>
                <w:sz w:val="22"/>
                <w:szCs w:val="22"/>
                <w:lang w:eastAsia="es-CO"/>
              </w:rPr>
              <w:t>d</w:t>
            </w:r>
            <w:r w:rsidR="00343EDB" w:rsidRPr="00343EDB">
              <w:rPr>
                <w:sz w:val="22"/>
                <w:szCs w:val="22"/>
                <w:lang w:eastAsia="es-CO"/>
              </w:rPr>
              <w:t xml:space="preserve">e acuerdo con el concepto emitido por el Subdirector Financiero de la SFC, y considerando que los ajustes en la estructura del CUIF no alteran las labores de supervisión que actualmente se realizan respecto de la información financiera, que el plazo previsto para su implementación es amplio y que las modificaciones requeridas no conllevan la adquisición de plataformas ni el desarrollo de soluciones tecnológicas independientes, se concluye que el proyecto de circular externa no genera un impacto fiscal adicional para la Superintendencia. Asimismo, dada la naturaleza de los gastos asociados a su implementación, estos podrán ser atendidos con cargo a los recursos del Presupuesto General de la Nación asignados a la sección presupuestal 1313 – Superintendencia Financiera de Colombia, conforme a la Ley </w:t>
            </w:r>
            <w:r w:rsidR="00343EDB" w:rsidRPr="00343EDB">
              <w:rPr>
                <w:sz w:val="22"/>
                <w:szCs w:val="22"/>
                <w:lang w:eastAsia="es-CO"/>
              </w:rPr>
              <w:lastRenderedPageBreak/>
              <w:t>2559 de 2025 y al anexo del Decreto 1477 de 2025. Los costos que eventualmente se generen en el futuro serán cubiertos con los recursos previstos en el anteproyecto de presupuesto para la vigencia 2027 y con los programados en el Marco de Gasto de Mediano Plazo para las vigencias posteriores.</w:t>
            </w:r>
          </w:p>
          <w:p w14:paraId="43184886" w14:textId="77777777" w:rsidR="00EF0B34" w:rsidRDefault="00EF0B34" w:rsidP="00F44A2E">
            <w:pPr>
              <w:jc w:val="both"/>
              <w:rPr>
                <w:sz w:val="22"/>
                <w:szCs w:val="22"/>
                <w:lang w:eastAsia="es-CO"/>
              </w:rPr>
            </w:pPr>
          </w:p>
          <w:p w14:paraId="2B422DE6" w14:textId="7D3008B3" w:rsidR="00EF0B34" w:rsidRDefault="00EF0B34" w:rsidP="00F44A2E">
            <w:pPr>
              <w:jc w:val="both"/>
              <w:rPr>
                <w:sz w:val="22"/>
                <w:szCs w:val="22"/>
                <w:lang w:eastAsia="es-CO"/>
              </w:rPr>
            </w:pPr>
            <w:r w:rsidRPr="00EF0B34">
              <w:rPr>
                <w:sz w:val="22"/>
                <w:szCs w:val="22"/>
                <w:lang w:eastAsia="es-CO"/>
              </w:rPr>
              <w:t xml:space="preserve">En este contexto, la implementación del presente proyecto normativo no requiere apropiaciones presupuestales adicionales por parte de la Superintendencia Financiera de Colombia. Las medidas propuestas consisten en la </w:t>
            </w:r>
            <w:r>
              <w:rPr>
                <w:sz w:val="22"/>
                <w:szCs w:val="22"/>
                <w:lang w:eastAsia="es-CO"/>
              </w:rPr>
              <w:t>modificación del CUIF y su ampliación de 6 a 10 dígitos</w:t>
            </w:r>
            <w:r w:rsidRPr="00EF0B34">
              <w:rPr>
                <w:sz w:val="22"/>
                <w:szCs w:val="22"/>
                <w:lang w:eastAsia="es-CO"/>
              </w:rPr>
              <w:t>. En consecuencia, su implementación se realizará mediante el uso de las capacidades institucionales, operativas y tecnológicas existentes, en el marco de los recursos humanos, técnicos y presupuestales actualmente disponibles. Por lo anterior, se concluye que el proyecto normativo es viable desde el punto de vista presupuestal y no genera requerimientos adicionales de gasto para la Superintendencia Financiera de Colombia.</w:t>
            </w:r>
          </w:p>
          <w:p w14:paraId="3D1E08FD" w14:textId="1EC861D8" w:rsidR="00343EDB" w:rsidRPr="009F7CED" w:rsidRDefault="00343EDB" w:rsidP="00F44A2E">
            <w:pPr>
              <w:jc w:val="both"/>
              <w:rPr>
                <w:sz w:val="22"/>
                <w:szCs w:val="22"/>
                <w:lang w:eastAsia="es-CO"/>
              </w:rPr>
            </w:pPr>
          </w:p>
        </w:tc>
      </w:tr>
      <w:tr w:rsidR="00DF60FD" w:rsidRPr="009F7CED" w14:paraId="559C613C" w14:textId="77777777" w:rsidTr="33BF7AF8">
        <w:trPr>
          <w:trHeight w:val="1295"/>
        </w:trPr>
        <w:tc>
          <w:tcPr>
            <w:tcW w:w="10774" w:type="dxa"/>
            <w:gridSpan w:val="3"/>
            <w:tcBorders>
              <w:top w:val="single" w:sz="4" w:space="0" w:color="auto"/>
              <w:bottom w:val="single" w:sz="4" w:space="0" w:color="auto"/>
            </w:tcBorders>
            <w:shd w:val="clear" w:color="auto" w:fill="FFFFFF" w:themeFill="background1"/>
            <w:vAlign w:val="center"/>
          </w:tcPr>
          <w:p w14:paraId="26B24ECB" w14:textId="7F10D1D9" w:rsidR="00DF60FD" w:rsidRPr="0063528C" w:rsidRDefault="00DF60FD" w:rsidP="00EF598C">
            <w:pPr>
              <w:numPr>
                <w:ilvl w:val="0"/>
                <w:numId w:val="2"/>
              </w:numPr>
              <w:jc w:val="both"/>
              <w:rPr>
                <w:rFonts w:cs="Arial"/>
                <w:b/>
                <w:color w:val="000000"/>
                <w:sz w:val="22"/>
                <w:szCs w:val="22"/>
              </w:rPr>
            </w:pPr>
            <w:r w:rsidRPr="009F7CED">
              <w:rPr>
                <w:rFonts w:cs="Arial"/>
                <w:b/>
                <w:color w:val="000000"/>
                <w:sz w:val="22"/>
                <w:szCs w:val="22"/>
              </w:rPr>
              <w:lastRenderedPageBreak/>
              <w:t xml:space="preserve"> IMPACTO MEDIOAMBIENTAL O SOBRE EL PATRIMONIO CULTURAL DE LA NACIÓN </w:t>
            </w:r>
          </w:p>
          <w:p w14:paraId="4CC0AAB1" w14:textId="77777777" w:rsidR="0063528C" w:rsidRPr="0063528C" w:rsidRDefault="0063528C" w:rsidP="0063528C">
            <w:pPr>
              <w:ind w:left="720"/>
              <w:jc w:val="both"/>
              <w:rPr>
                <w:rFonts w:cs="Arial"/>
                <w:bCs/>
                <w:color w:val="000000"/>
                <w:sz w:val="22"/>
                <w:szCs w:val="22"/>
              </w:rPr>
            </w:pPr>
          </w:p>
          <w:p w14:paraId="0E797111" w14:textId="3DE29483" w:rsidR="00696582" w:rsidRDefault="00A9560A" w:rsidP="00FA4A9E">
            <w:pPr>
              <w:jc w:val="both"/>
              <w:rPr>
                <w:rFonts w:cs="Arial"/>
                <w:bCs/>
                <w:color w:val="000000"/>
                <w:sz w:val="22"/>
                <w:szCs w:val="22"/>
              </w:rPr>
            </w:pPr>
            <w:r w:rsidRPr="00A9560A">
              <w:rPr>
                <w:rFonts w:cs="Arial"/>
                <w:bCs/>
                <w:color w:val="000000"/>
                <w:sz w:val="22"/>
                <w:szCs w:val="22"/>
              </w:rPr>
              <w:t>El presente proyecto normativo no genera impactos directos sobre el medio ambiente ni sobre el patrimonio cultural de la Nación. Lo anterior, por cuanto las medidas propuestas se circunscriben a</w:t>
            </w:r>
            <w:r w:rsidR="00990753">
              <w:rPr>
                <w:rFonts w:cs="Arial"/>
                <w:bCs/>
                <w:color w:val="000000"/>
                <w:sz w:val="22"/>
                <w:szCs w:val="22"/>
              </w:rPr>
              <w:t xml:space="preserve"> </w:t>
            </w:r>
            <w:r w:rsidR="00990753" w:rsidRPr="00990753">
              <w:rPr>
                <w:rFonts w:cs="Arial"/>
                <w:bCs/>
                <w:color w:val="000000"/>
                <w:sz w:val="22"/>
                <w:szCs w:val="22"/>
              </w:rPr>
              <w:t>reexp</w:t>
            </w:r>
            <w:r w:rsidR="00990753">
              <w:rPr>
                <w:rFonts w:cs="Arial"/>
                <w:bCs/>
                <w:color w:val="000000"/>
                <w:sz w:val="22"/>
                <w:szCs w:val="22"/>
              </w:rPr>
              <w:t>e</w:t>
            </w:r>
            <w:r w:rsidR="00990753" w:rsidRPr="00990753">
              <w:rPr>
                <w:rFonts w:cs="Arial"/>
                <w:bCs/>
                <w:color w:val="000000"/>
                <w:sz w:val="22"/>
                <w:szCs w:val="22"/>
              </w:rPr>
              <w:t>d</w:t>
            </w:r>
            <w:r w:rsidR="00990753">
              <w:rPr>
                <w:rFonts w:cs="Arial"/>
                <w:bCs/>
                <w:color w:val="000000"/>
                <w:sz w:val="22"/>
                <w:szCs w:val="22"/>
              </w:rPr>
              <w:t>ir</w:t>
            </w:r>
            <w:r w:rsidR="00990753" w:rsidRPr="00990753">
              <w:rPr>
                <w:rFonts w:cs="Arial"/>
                <w:bCs/>
                <w:color w:val="000000"/>
                <w:sz w:val="22"/>
                <w:szCs w:val="22"/>
              </w:rPr>
              <w:t xml:space="preserve"> el CUIF con el propósito de mantener las reglas técnicas y uniformes en materia contable para la presentación de la información financiera de las entidades vigiladas, que permita garantizar el ejercicio de las funciones de supervisión de la SFC</w:t>
            </w:r>
            <w:r w:rsidRPr="00A9560A">
              <w:rPr>
                <w:rFonts w:cs="Arial"/>
                <w:bCs/>
                <w:color w:val="000000"/>
                <w:sz w:val="22"/>
                <w:szCs w:val="22"/>
              </w:rPr>
              <w:t xml:space="preserve">. En consecuencia, el proyecto desarrolla aspectos de carácter técnico, operativo y regulatorio relacionados con el intercambio de información </w:t>
            </w:r>
            <w:r w:rsidR="00194011">
              <w:rPr>
                <w:rFonts w:cs="Arial"/>
                <w:bCs/>
                <w:color w:val="000000"/>
                <w:sz w:val="22"/>
                <w:szCs w:val="22"/>
              </w:rPr>
              <w:t>financiera</w:t>
            </w:r>
            <w:r w:rsidRPr="00A9560A">
              <w:rPr>
                <w:rFonts w:cs="Arial"/>
                <w:bCs/>
                <w:color w:val="000000"/>
                <w:sz w:val="22"/>
                <w:szCs w:val="22"/>
              </w:rPr>
              <w:t>, sin generar efectos directos sobre el medio ambiente o el patrimonio cultural de la Nación.</w:t>
            </w:r>
          </w:p>
          <w:p w14:paraId="439848E6" w14:textId="77777777" w:rsidR="00043107" w:rsidRDefault="00043107" w:rsidP="00FA4A9E">
            <w:pPr>
              <w:jc w:val="both"/>
              <w:rPr>
                <w:rFonts w:cs="Arial"/>
                <w:bCs/>
                <w:color w:val="000000"/>
                <w:sz w:val="22"/>
                <w:szCs w:val="22"/>
              </w:rPr>
            </w:pPr>
          </w:p>
          <w:p w14:paraId="38E6FBD7" w14:textId="77777777" w:rsidR="00043107" w:rsidRPr="00043107" w:rsidRDefault="00043107" w:rsidP="00043107">
            <w:pPr>
              <w:jc w:val="both"/>
              <w:rPr>
                <w:rFonts w:cs="Arial"/>
                <w:bCs/>
                <w:color w:val="000000"/>
                <w:sz w:val="22"/>
                <w:szCs w:val="22"/>
              </w:rPr>
            </w:pPr>
            <w:r w:rsidRPr="00043107">
              <w:rPr>
                <w:rFonts w:cs="Arial"/>
                <w:bCs/>
                <w:color w:val="000000"/>
                <w:sz w:val="22"/>
                <w:szCs w:val="22"/>
              </w:rPr>
              <w:t>En consecuencia, las disposiciones previstas en el proyecto no regulan actividades relacionadas con el uso, aprovechamiento o intervención de recursos naturales, ni establecen medidas que puedan incidir sobre ecosistemas, bienes ambientales o elementos integrantes del patrimonio cultural de la Nación. Tampoco contemplan actuaciones que impliquen intervenciones materiales sobre bienes de interés cultural o sobre manifestaciones del patrimonio cultural.</w:t>
            </w:r>
          </w:p>
          <w:p w14:paraId="105827B2" w14:textId="77777777" w:rsidR="00043107" w:rsidRPr="00043107" w:rsidRDefault="00043107" w:rsidP="00043107">
            <w:pPr>
              <w:jc w:val="both"/>
              <w:rPr>
                <w:rFonts w:cs="Arial"/>
                <w:bCs/>
                <w:color w:val="000000"/>
                <w:sz w:val="22"/>
                <w:szCs w:val="22"/>
              </w:rPr>
            </w:pPr>
          </w:p>
          <w:p w14:paraId="3A63D9D8" w14:textId="20F7A12C" w:rsidR="00043107" w:rsidRDefault="00043107" w:rsidP="00043107">
            <w:pPr>
              <w:jc w:val="both"/>
              <w:rPr>
                <w:rFonts w:cs="Arial"/>
                <w:bCs/>
                <w:color w:val="000000"/>
                <w:sz w:val="22"/>
                <w:szCs w:val="22"/>
              </w:rPr>
            </w:pPr>
            <w:r w:rsidRPr="00043107">
              <w:rPr>
                <w:rFonts w:cs="Arial"/>
                <w:bCs/>
                <w:color w:val="000000"/>
                <w:sz w:val="22"/>
                <w:szCs w:val="22"/>
              </w:rPr>
              <w:t>Por lo anterior, se concluye que el proyecto normativo no genera impacto medioambiental ni impacto sobre el patrimonio cultural de la Nación.</w:t>
            </w:r>
          </w:p>
          <w:p w14:paraId="33476938" w14:textId="0BDFCB84" w:rsidR="00A9560A" w:rsidRPr="009F7CED" w:rsidRDefault="00A9560A" w:rsidP="00FA4A9E">
            <w:pPr>
              <w:jc w:val="both"/>
              <w:rPr>
                <w:rFonts w:cs="Arial"/>
                <w:b/>
                <w:color w:val="000000"/>
                <w:sz w:val="22"/>
                <w:szCs w:val="22"/>
              </w:rPr>
            </w:pPr>
          </w:p>
        </w:tc>
      </w:tr>
      <w:tr w:rsidR="00DF60FD" w:rsidRPr="009F7CED" w14:paraId="3AC25E9F" w14:textId="77777777" w:rsidTr="33BF7AF8">
        <w:trPr>
          <w:trHeight w:val="317"/>
        </w:trPr>
        <w:tc>
          <w:tcPr>
            <w:tcW w:w="10774" w:type="dxa"/>
            <w:gridSpan w:val="3"/>
            <w:tcBorders>
              <w:top w:val="single" w:sz="4" w:space="0" w:color="auto"/>
              <w:bottom w:val="single" w:sz="4" w:space="0" w:color="auto"/>
            </w:tcBorders>
            <w:shd w:val="clear" w:color="auto" w:fill="FFFFFF" w:themeFill="background1"/>
            <w:vAlign w:val="center"/>
          </w:tcPr>
          <w:p w14:paraId="28396750" w14:textId="19C2A689" w:rsidR="00D05B67" w:rsidRDefault="00D05B67" w:rsidP="00EF598C">
            <w:pPr>
              <w:numPr>
                <w:ilvl w:val="0"/>
                <w:numId w:val="2"/>
              </w:numPr>
              <w:jc w:val="both"/>
              <w:rPr>
                <w:rFonts w:cs="Arial"/>
                <w:sz w:val="22"/>
                <w:szCs w:val="22"/>
              </w:rPr>
            </w:pPr>
            <w:r w:rsidRPr="00D05B67">
              <w:rPr>
                <w:rFonts w:cs="Arial"/>
                <w:b/>
                <w:sz w:val="22"/>
                <w:szCs w:val="22"/>
              </w:rPr>
              <w:t>ESTUDIOS TÉCNICOS QUE SUSTENTEN EL PROYECTO NORMATIVO</w:t>
            </w:r>
          </w:p>
          <w:p w14:paraId="4CAC5350" w14:textId="77777777" w:rsidR="00E954E7" w:rsidRDefault="00E954E7" w:rsidP="00E954E7">
            <w:pPr>
              <w:jc w:val="both"/>
              <w:rPr>
                <w:rFonts w:cs="Arial"/>
                <w:sz w:val="22"/>
                <w:szCs w:val="22"/>
              </w:rPr>
            </w:pPr>
          </w:p>
          <w:p w14:paraId="433D2CBC" w14:textId="77CACF64" w:rsidR="0063528C" w:rsidRDefault="00E954E7" w:rsidP="00F36BBE">
            <w:pPr>
              <w:jc w:val="both"/>
              <w:rPr>
                <w:rFonts w:cs="Arial"/>
                <w:sz w:val="22"/>
                <w:szCs w:val="22"/>
              </w:rPr>
            </w:pPr>
            <w:r w:rsidRPr="00E954E7">
              <w:rPr>
                <w:rFonts w:cs="Arial"/>
                <w:sz w:val="22"/>
                <w:szCs w:val="22"/>
              </w:rPr>
              <w:t>El presente proyecto normativo se sustenta en los análisis técnicos, jurídicos y operativos previamente descritos</w:t>
            </w:r>
            <w:r w:rsidR="00481FC9">
              <w:rPr>
                <w:rFonts w:cs="Arial"/>
                <w:sz w:val="22"/>
                <w:szCs w:val="22"/>
              </w:rPr>
              <w:t>, así como lo concepto</w:t>
            </w:r>
            <w:r w:rsidR="002B06F8">
              <w:rPr>
                <w:rFonts w:cs="Arial"/>
                <w:sz w:val="22"/>
                <w:szCs w:val="22"/>
              </w:rPr>
              <w:t>s</w:t>
            </w:r>
            <w:r w:rsidR="002043BC">
              <w:rPr>
                <w:rFonts w:cs="Arial"/>
                <w:sz w:val="22"/>
                <w:szCs w:val="22"/>
              </w:rPr>
              <w:t xml:space="preserve"> remitidos por la Subdirección de Investigación y Análisis, la </w:t>
            </w:r>
            <w:r w:rsidR="002043BC">
              <w:rPr>
                <w:rFonts w:cs="Arial"/>
                <w:color w:val="000000" w:themeColor="text1"/>
                <w:sz w:val="22"/>
                <w:szCs w:val="22"/>
              </w:rPr>
              <w:t>Subdirección de Desarrollo Digital</w:t>
            </w:r>
            <w:r w:rsidR="003B44EE">
              <w:rPr>
                <w:rFonts w:cs="Arial"/>
                <w:color w:val="000000" w:themeColor="text1"/>
                <w:sz w:val="22"/>
                <w:szCs w:val="22"/>
              </w:rPr>
              <w:t xml:space="preserve"> y la Subdirección Financiera</w:t>
            </w:r>
            <w:r w:rsidRPr="00E954E7">
              <w:rPr>
                <w:rFonts w:cs="Arial"/>
                <w:sz w:val="22"/>
                <w:szCs w:val="22"/>
              </w:rPr>
              <w:t>.</w:t>
            </w:r>
          </w:p>
          <w:p w14:paraId="6B4B171B" w14:textId="1AC6DF36" w:rsidR="00F36BBE" w:rsidRPr="009F7CED" w:rsidRDefault="00F36BBE" w:rsidP="00F36BBE">
            <w:pPr>
              <w:jc w:val="both"/>
              <w:rPr>
                <w:rFonts w:cs="Arial"/>
                <w:sz w:val="22"/>
                <w:szCs w:val="22"/>
              </w:rPr>
            </w:pPr>
          </w:p>
        </w:tc>
      </w:tr>
      <w:tr w:rsidR="00DF60FD" w:rsidRPr="00D965B1" w14:paraId="7ACD7ADA" w14:textId="77777777" w:rsidTr="33BF7AF8">
        <w:trPr>
          <w:trHeight w:val="416"/>
        </w:trPr>
        <w:tc>
          <w:tcPr>
            <w:tcW w:w="10774" w:type="dxa"/>
            <w:gridSpan w:val="3"/>
            <w:tcBorders>
              <w:top w:val="single" w:sz="4" w:space="0" w:color="auto"/>
              <w:bottom w:val="single" w:sz="4" w:space="0" w:color="auto"/>
            </w:tcBorders>
            <w:shd w:val="clear" w:color="auto" w:fill="A6A6A6" w:themeFill="background1" w:themeFillShade="A6"/>
            <w:vAlign w:val="center"/>
          </w:tcPr>
          <w:p w14:paraId="67A3324C" w14:textId="77777777" w:rsidR="00F55DC4" w:rsidRPr="00D965B1" w:rsidRDefault="00DF60FD" w:rsidP="00696582">
            <w:pPr>
              <w:jc w:val="center"/>
              <w:rPr>
                <w:rFonts w:cs="Arial"/>
                <w:color w:val="FFFFFF"/>
                <w:sz w:val="22"/>
                <w:szCs w:val="22"/>
              </w:rPr>
            </w:pPr>
            <w:r w:rsidRPr="00D965B1">
              <w:rPr>
                <w:rFonts w:cs="Arial"/>
                <w:b/>
                <w:color w:val="FFFFFF"/>
                <w:sz w:val="22"/>
                <w:szCs w:val="22"/>
              </w:rPr>
              <w:t>ANEXOS</w:t>
            </w:r>
            <w:r w:rsidR="00D05B67" w:rsidRPr="00D965B1">
              <w:rPr>
                <w:rFonts w:cs="Arial"/>
                <w:b/>
                <w:color w:val="FFFFFF"/>
                <w:sz w:val="22"/>
                <w:szCs w:val="22"/>
              </w:rPr>
              <w:t>:</w:t>
            </w:r>
            <w:r w:rsidR="00696582" w:rsidRPr="00D965B1">
              <w:rPr>
                <w:rFonts w:cs="Arial"/>
                <w:color w:val="FFFFFF"/>
                <w:sz w:val="22"/>
                <w:szCs w:val="22"/>
              </w:rPr>
              <w:t xml:space="preserve"> </w:t>
            </w:r>
          </w:p>
        </w:tc>
      </w:tr>
      <w:tr w:rsidR="00D05B67" w:rsidRPr="009F7CED" w14:paraId="1985570C" w14:textId="77777777" w:rsidTr="33BF7AF8">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37EEF6F4" w14:textId="77777777" w:rsidR="00D05B67" w:rsidRDefault="00D05B67" w:rsidP="00D05B67">
            <w:pPr>
              <w:jc w:val="both"/>
              <w:rPr>
                <w:rFonts w:cs="Arial"/>
                <w:sz w:val="22"/>
                <w:szCs w:val="22"/>
              </w:rPr>
            </w:pPr>
            <w:r>
              <w:rPr>
                <w:rFonts w:cs="Arial"/>
                <w:sz w:val="22"/>
                <w:szCs w:val="22"/>
              </w:rPr>
              <w:t xml:space="preserve">Certificación de cumplimiento de requisitos de consulta, publicidad y de incorporación en la agenda regulatoria </w:t>
            </w:r>
          </w:p>
          <w:p w14:paraId="6584CEEC" w14:textId="77777777" w:rsidR="00D05B67" w:rsidRPr="00084B49" w:rsidRDefault="00D05B67" w:rsidP="00D05B67">
            <w:pPr>
              <w:jc w:val="both"/>
              <w:rPr>
                <w:rFonts w:cs="Arial"/>
                <w:i/>
                <w:color w:val="808080"/>
                <w:sz w:val="22"/>
                <w:szCs w:val="22"/>
              </w:rPr>
            </w:pPr>
            <w:r w:rsidRPr="00084B49">
              <w:rPr>
                <w:rFonts w:cs="Arial"/>
                <w:i/>
                <w:color w:val="808080"/>
                <w:szCs w:val="22"/>
              </w:rPr>
              <w:t>(Firmada por el servidor público competente –entidad originadora)</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33031D3C" w14:textId="77777777" w:rsidR="00D05B67" w:rsidRPr="00084B49" w:rsidRDefault="00D05B67" w:rsidP="00D05B67">
            <w:pPr>
              <w:jc w:val="both"/>
              <w:rPr>
                <w:rFonts w:cs="Arial"/>
                <w:i/>
                <w:color w:val="808080"/>
                <w:sz w:val="22"/>
                <w:szCs w:val="22"/>
              </w:rPr>
            </w:pPr>
            <w:r w:rsidRPr="00084B49">
              <w:rPr>
                <w:rFonts w:cs="Arial"/>
                <w:i/>
                <w:color w:val="808080"/>
                <w:sz w:val="22"/>
                <w:szCs w:val="22"/>
              </w:rPr>
              <w:t>(Marque con una x)</w:t>
            </w:r>
          </w:p>
        </w:tc>
      </w:tr>
      <w:tr w:rsidR="00D05B67" w:rsidRPr="009F7CED" w14:paraId="7D8E198A" w14:textId="77777777" w:rsidTr="33BF7AF8">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2B692F71" w14:textId="77777777" w:rsidR="00D05B67" w:rsidRDefault="00D05B67" w:rsidP="00D05B67">
            <w:pPr>
              <w:jc w:val="both"/>
              <w:rPr>
                <w:rFonts w:cs="Arial"/>
                <w:sz w:val="22"/>
                <w:szCs w:val="22"/>
              </w:rPr>
            </w:pPr>
            <w:r>
              <w:rPr>
                <w:rFonts w:cs="Arial"/>
                <w:sz w:val="22"/>
                <w:szCs w:val="22"/>
              </w:rPr>
              <w:t>Concepto</w:t>
            </w:r>
            <w:r w:rsidR="005F30C3">
              <w:rPr>
                <w:rFonts w:cs="Arial"/>
                <w:sz w:val="22"/>
                <w:szCs w:val="22"/>
              </w:rPr>
              <w:t>(s)</w:t>
            </w:r>
            <w:r>
              <w:rPr>
                <w:rFonts w:cs="Arial"/>
                <w:sz w:val="22"/>
                <w:szCs w:val="22"/>
              </w:rPr>
              <w:t xml:space="preserve"> de Min</w:t>
            </w:r>
            <w:r w:rsidR="005F30C3">
              <w:rPr>
                <w:rFonts w:cs="Arial"/>
                <w:sz w:val="22"/>
                <w:szCs w:val="22"/>
              </w:rPr>
              <w:t>isterio de</w:t>
            </w:r>
            <w:r>
              <w:rPr>
                <w:rFonts w:cs="Arial"/>
                <w:sz w:val="22"/>
                <w:szCs w:val="22"/>
              </w:rPr>
              <w:t xml:space="preserve"> Comercio</w:t>
            </w:r>
            <w:r w:rsidR="005F30C3">
              <w:rPr>
                <w:rFonts w:cs="Arial"/>
                <w:sz w:val="22"/>
                <w:szCs w:val="22"/>
              </w:rPr>
              <w:t>, Industria y Turismo</w:t>
            </w:r>
          </w:p>
          <w:p w14:paraId="7D4DD1D9" w14:textId="77777777" w:rsidR="00D05B67" w:rsidRPr="00084B49" w:rsidRDefault="005F30C3" w:rsidP="00D05B67">
            <w:pPr>
              <w:jc w:val="both"/>
              <w:rPr>
                <w:rFonts w:cs="Arial"/>
                <w:i/>
                <w:color w:val="808080"/>
                <w:sz w:val="22"/>
                <w:szCs w:val="22"/>
              </w:rPr>
            </w:pPr>
            <w:r w:rsidRPr="00084B49">
              <w:rPr>
                <w:rFonts w:cs="Arial"/>
                <w:i/>
                <w:color w:val="808080"/>
                <w:szCs w:val="22"/>
              </w:rPr>
              <w:t>(Cuando se trate de un proyecto de reglamento técnico o de procedimientos de evaluación de conformidad)</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2D785CD5" w14:textId="77777777" w:rsidR="00D05B67" w:rsidRDefault="005F30C3" w:rsidP="00D05B67">
            <w:pPr>
              <w:jc w:val="both"/>
              <w:rPr>
                <w:rFonts w:cs="Arial"/>
                <w:sz w:val="22"/>
                <w:szCs w:val="22"/>
              </w:rPr>
            </w:pPr>
            <w:r w:rsidRPr="005F30C3">
              <w:rPr>
                <w:rFonts w:cs="Arial"/>
                <w:i/>
                <w:color w:val="808080"/>
                <w:sz w:val="22"/>
                <w:szCs w:val="22"/>
              </w:rPr>
              <w:t>(Marque con una x)</w:t>
            </w:r>
          </w:p>
        </w:tc>
      </w:tr>
      <w:tr w:rsidR="005F30C3" w:rsidRPr="009F7CED" w14:paraId="083B0099" w14:textId="77777777" w:rsidTr="33BF7AF8">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4F76ABE2" w14:textId="77777777" w:rsidR="005F30C3" w:rsidRDefault="005F30C3" w:rsidP="00D05B67">
            <w:pPr>
              <w:jc w:val="both"/>
              <w:rPr>
                <w:rFonts w:cs="Arial"/>
                <w:sz w:val="22"/>
                <w:szCs w:val="22"/>
              </w:rPr>
            </w:pPr>
            <w:r>
              <w:rPr>
                <w:rFonts w:cs="Arial"/>
                <w:sz w:val="22"/>
                <w:szCs w:val="22"/>
              </w:rPr>
              <w:t xml:space="preserve">Informe de observaciones y respuestas </w:t>
            </w:r>
          </w:p>
          <w:p w14:paraId="16ACD48C" w14:textId="77777777" w:rsidR="005F30C3" w:rsidRPr="00084B49" w:rsidRDefault="005F30C3" w:rsidP="00D05B67">
            <w:pPr>
              <w:jc w:val="both"/>
              <w:rPr>
                <w:rFonts w:cs="Arial"/>
                <w:i/>
                <w:color w:val="808080"/>
                <w:sz w:val="22"/>
                <w:szCs w:val="22"/>
              </w:rPr>
            </w:pPr>
            <w:r w:rsidRPr="00084B49">
              <w:rPr>
                <w:rFonts w:cs="Arial"/>
                <w:i/>
                <w:color w:val="808080"/>
                <w:szCs w:val="22"/>
              </w:rPr>
              <w:t>(Análisis del informe con la evaluación de las observaciones de los ciudadanos y grupos de interés sobre el proyecto normativo)</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7F62B15C" w14:textId="77777777" w:rsidR="005F30C3" w:rsidRDefault="005F30C3" w:rsidP="00D05B67">
            <w:pPr>
              <w:jc w:val="both"/>
              <w:rPr>
                <w:rFonts w:cs="Arial"/>
                <w:sz w:val="22"/>
                <w:szCs w:val="22"/>
              </w:rPr>
            </w:pPr>
            <w:r w:rsidRPr="005F30C3">
              <w:rPr>
                <w:rFonts w:cs="Arial"/>
                <w:i/>
                <w:color w:val="808080"/>
                <w:sz w:val="22"/>
                <w:szCs w:val="22"/>
              </w:rPr>
              <w:t>(Marque con una x)</w:t>
            </w:r>
          </w:p>
        </w:tc>
      </w:tr>
      <w:tr w:rsidR="005F30C3" w:rsidRPr="009F7CED" w14:paraId="2941210B" w14:textId="77777777" w:rsidTr="33BF7AF8">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5A92AFE4" w14:textId="77777777" w:rsidR="005F30C3" w:rsidRDefault="005F30C3" w:rsidP="00D05B67">
            <w:pPr>
              <w:jc w:val="both"/>
              <w:rPr>
                <w:rFonts w:cs="Arial"/>
                <w:sz w:val="22"/>
                <w:szCs w:val="22"/>
              </w:rPr>
            </w:pPr>
            <w:r>
              <w:rPr>
                <w:rFonts w:cs="Arial"/>
                <w:sz w:val="22"/>
                <w:szCs w:val="22"/>
              </w:rPr>
              <w:t>Concepto de Abogacía de la Competencia de la Superintendencia de Industria y Comercio</w:t>
            </w:r>
          </w:p>
          <w:p w14:paraId="4872B484" w14:textId="77777777" w:rsidR="005F30C3" w:rsidRPr="00084B49" w:rsidRDefault="005F30C3" w:rsidP="00D05B67">
            <w:pPr>
              <w:jc w:val="both"/>
              <w:rPr>
                <w:rFonts w:cs="Arial"/>
                <w:i/>
                <w:color w:val="808080"/>
                <w:sz w:val="22"/>
                <w:szCs w:val="22"/>
              </w:rPr>
            </w:pPr>
            <w:r w:rsidRPr="00084B49">
              <w:rPr>
                <w:rFonts w:cs="Arial"/>
                <w:i/>
                <w:color w:val="808080"/>
                <w:szCs w:val="22"/>
              </w:rPr>
              <w:lastRenderedPageBreak/>
              <w:t>(Cuando los proyectos normativos tengan incidencia en la libre competencia de los mercados)</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7383FB00" w14:textId="77777777" w:rsidR="005F30C3" w:rsidRDefault="005F30C3" w:rsidP="00D05B67">
            <w:pPr>
              <w:jc w:val="both"/>
              <w:rPr>
                <w:rFonts w:cs="Arial"/>
                <w:sz w:val="22"/>
                <w:szCs w:val="22"/>
              </w:rPr>
            </w:pPr>
            <w:r w:rsidRPr="005F30C3">
              <w:rPr>
                <w:rFonts w:cs="Arial"/>
                <w:i/>
                <w:color w:val="808080"/>
                <w:sz w:val="22"/>
                <w:szCs w:val="22"/>
              </w:rPr>
              <w:lastRenderedPageBreak/>
              <w:t>(Marque con una x)</w:t>
            </w:r>
          </w:p>
        </w:tc>
      </w:tr>
      <w:tr w:rsidR="005F30C3" w:rsidRPr="009F7CED" w14:paraId="0AE363D2" w14:textId="77777777" w:rsidTr="33BF7AF8">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429D6828" w14:textId="77777777" w:rsidR="005F30C3" w:rsidRDefault="005F30C3" w:rsidP="00D05B67">
            <w:pPr>
              <w:jc w:val="both"/>
              <w:rPr>
                <w:rFonts w:cs="Arial"/>
                <w:sz w:val="22"/>
                <w:szCs w:val="22"/>
              </w:rPr>
            </w:pPr>
            <w:r>
              <w:rPr>
                <w:rFonts w:cs="Arial"/>
                <w:sz w:val="22"/>
                <w:szCs w:val="22"/>
              </w:rPr>
              <w:t>Concepto de aprobación nuevos trámites del Departamento Administrativo de la Función Pública</w:t>
            </w:r>
          </w:p>
          <w:p w14:paraId="2BB1931C" w14:textId="77777777" w:rsidR="005F30C3" w:rsidRDefault="005F30C3" w:rsidP="00D05B67">
            <w:pPr>
              <w:jc w:val="both"/>
              <w:rPr>
                <w:rFonts w:cs="Arial"/>
                <w:sz w:val="22"/>
                <w:szCs w:val="22"/>
              </w:rPr>
            </w:pPr>
            <w:r w:rsidRPr="00084B49">
              <w:rPr>
                <w:rFonts w:cs="Arial"/>
                <w:i/>
                <w:color w:val="808080"/>
                <w:szCs w:val="22"/>
              </w:rPr>
              <w:t>(Cuando el proyecto normativo adopte o modifique un trámite)</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56656513" w14:textId="77777777" w:rsidR="005F30C3" w:rsidRDefault="005F30C3" w:rsidP="00D05B67">
            <w:pPr>
              <w:jc w:val="both"/>
              <w:rPr>
                <w:rFonts w:cs="Arial"/>
                <w:sz w:val="22"/>
                <w:szCs w:val="22"/>
              </w:rPr>
            </w:pPr>
            <w:r w:rsidRPr="005F30C3">
              <w:rPr>
                <w:rFonts w:cs="Arial"/>
                <w:i/>
                <w:color w:val="808080"/>
                <w:sz w:val="22"/>
                <w:szCs w:val="22"/>
              </w:rPr>
              <w:t>(Marque con una x)</w:t>
            </w:r>
          </w:p>
        </w:tc>
      </w:tr>
      <w:tr w:rsidR="005F30C3" w:rsidRPr="009F7CED" w14:paraId="2E7B062F" w14:textId="77777777" w:rsidTr="33BF7AF8">
        <w:trPr>
          <w:trHeight w:val="66"/>
        </w:trPr>
        <w:tc>
          <w:tcPr>
            <w:tcW w:w="7655" w:type="dxa"/>
            <w:gridSpan w:val="2"/>
            <w:tcBorders>
              <w:top w:val="single" w:sz="4" w:space="0" w:color="auto"/>
              <w:bottom w:val="single" w:sz="4" w:space="0" w:color="auto"/>
              <w:right w:val="single" w:sz="4" w:space="0" w:color="auto"/>
            </w:tcBorders>
            <w:shd w:val="clear" w:color="auto" w:fill="FFFFFF" w:themeFill="background1"/>
            <w:vAlign w:val="center"/>
          </w:tcPr>
          <w:p w14:paraId="50792191" w14:textId="77777777" w:rsidR="005F30C3" w:rsidRDefault="005F30C3" w:rsidP="00084B49">
            <w:pPr>
              <w:jc w:val="both"/>
              <w:rPr>
                <w:rFonts w:cs="Arial"/>
                <w:sz w:val="22"/>
                <w:szCs w:val="22"/>
              </w:rPr>
            </w:pPr>
            <w:r>
              <w:rPr>
                <w:rFonts w:cs="Arial"/>
                <w:sz w:val="22"/>
                <w:szCs w:val="22"/>
              </w:rPr>
              <w:t xml:space="preserve">Otro </w:t>
            </w:r>
          </w:p>
          <w:p w14:paraId="52098CF2" w14:textId="77777777" w:rsidR="005F30C3" w:rsidRDefault="005F30C3" w:rsidP="00084B49">
            <w:pPr>
              <w:jc w:val="both"/>
              <w:rPr>
                <w:rFonts w:cs="Arial"/>
                <w:sz w:val="22"/>
                <w:szCs w:val="22"/>
              </w:rPr>
            </w:pPr>
            <w:r w:rsidRPr="00084B49">
              <w:rPr>
                <w:rFonts w:cs="Arial"/>
                <w:i/>
                <w:color w:val="808080"/>
                <w:szCs w:val="22"/>
              </w:rPr>
              <w:t>(Cualquier otro aspecto que la entidad originadora de la norma considere relevante o de importancia)</w:t>
            </w:r>
          </w:p>
        </w:tc>
        <w:tc>
          <w:tcPr>
            <w:tcW w:w="3119" w:type="dxa"/>
            <w:tcBorders>
              <w:top w:val="single" w:sz="4" w:space="0" w:color="auto"/>
              <w:left w:val="single" w:sz="4" w:space="0" w:color="auto"/>
              <w:bottom w:val="single" w:sz="4" w:space="0" w:color="auto"/>
            </w:tcBorders>
            <w:shd w:val="clear" w:color="auto" w:fill="FFFFFF" w:themeFill="background1"/>
            <w:vAlign w:val="center"/>
          </w:tcPr>
          <w:p w14:paraId="5370EE83" w14:textId="77777777" w:rsidR="005F30C3" w:rsidRDefault="005F30C3" w:rsidP="00D05B67">
            <w:pPr>
              <w:jc w:val="both"/>
              <w:rPr>
                <w:rFonts w:cs="Arial"/>
                <w:sz w:val="22"/>
                <w:szCs w:val="22"/>
              </w:rPr>
            </w:pPr>
            <w:r w:rsidRPr="005F30C3">
              <w:rPr>
                <w:rFonts w:cs="Arial"/>
                <w:i/>
                <w:color w:val="808080"/>
                <w:sz w:val="22"/>
                <w:szCs w:val="22"/>
              </w:rPr>
              <w:t>(Marque con una x)</w:t>
            </w:r>
          </w:p>
        </w:tc>
      </w:tr>
    </w:tbl>
    <w:p w14:paraId="40A916CF" w14:textId="77777777" w:rsidR="00301DC2" w:rsidRPr="009F7CED" w:rsidRDefault="00301DC2" w:rsidP="00587695">
      <w:pPr>
        <w:ind w:right="-377"/>
        <w:jc w:val="both"/>
        <w:rPr>
          <w:rFonts w:cs="Arial"/>
          <w:sz w:val="22"/>
          <w:szCs w:val="22"/>
        </w:rPr>
      </w:pPr>
    </w:p>
    <w:p w14:paraId="31DCE5F5" w14:textId="77777777" w:rsidR="00B66D03" w:rsidRPr="00D05B67" w:rsidRDefault="000B30A6" w:rsidP="00696582">
      <w:pPr>
        <w:ind w:left="-1276" w:right="-377" w:firstLine="283"/>
        <w:jc w:val="both"/>
        <w:rPr>
          <w:rFonts w:cs="Arial"/>
          <w:b/>
          <w:sz w:val="22"/>
          <w:szCs w:val="22"/>
        </w:rPr>
      </w:pPr>
      <w:r w:rsidRPr="00D05B67">
        <w:rPr>
          <w:rFonts w:cs="Arial"/>
          <w:b/>
          <w:sz w:val="22"/>
          <w:szCs w:val="22"/>
        </w:rPr>
        <w:t>Aprobó</w:t>
      </w:r>
      <w:r w:rsidR="00CB4D37" w:rsidRPr="00D05B67">
        <w:rPr>
          <w:rFonts w:cs="Arial"/>
          <w:b/>
          <w:sz w:val="22"/>
          <w:szCs w:val="22"/>
        </w:rPr>
        <w:t>:</w:t>
      </w:r>
    </w:p>
    <w:p w14:paraId="026EAAEB" w14:textId="77777777" w:rsidR="00B66D03" w:rsidRPr="009F7CED" w:rsidRDefault="00B66D03" w:rsidP="00086B16">
      <w:pPr>
        <w:ind w:left="-1276" w:right="-377"/>
        <w:jc w:val="both"/>
        <w:rPr>
          <w:rFonts w:cs="Arial"/>
          <w:sz w:val="22"/>
          <w:szCs w:val="22"/>
        </w:rPr>
      </w:pPr>
    </w:p>
    <w:p w14:paraId="6A9FB4B6" w14:textId="77777777" w:rsidR="007E4CE3" w:rsidRPr="009F7CED" w:rsidRDefault="007E4CE3" w:rsidP="00086B16">
      <w:pPr>
        <w:ind w:left="-1276" w:right="-377"/>
        <w:jc w:val="both"/>
        <w:rPr>
          <w:rFonts w:cs="Arial"/>
          <w:sz w:val="22"/>
          <w:szCs w:val="22"/>
        </w:rPr>
      </w:pPr>
    </w:p>
    <w:p w14:paraId="0BE4A4EE" w14:textId="77777777" w:rsidR="007E4CE3" w:rsidRPr="009F7CED" w:rsidRDefault="007E4CE3" w:rsidP="00086B16">
      <w:pPr>
        <w:ind w:left="-1276" w:right="-377"/>
        <w:jc w:val="both"/>
        <w:rPr>
          <w:rFonts w:cs="Arial"/>
          <w:sz w:val="22"/>
          <w:szCs w:val="22"/>
        </w:rPr>
      </w:pPr>
    </w:p>
    <w:p w14:paraId="5D97FDC6" w14:textId="77777777" w:rsidR="00F16839" w:rsidRPr="009F7CED" w:rsidRDefault="00F16839" w:rsidP="0075705D">
      <w:pPr>
        <w:ind w:right="-377"/>
        <w:jc w:val="both"/>
        <w:rPr>
          <w:rFonts w:cs="Arial"/>
          <w:sz w:val="22"/>
          <w:szCs w:val="22"/>
        </w:rPr>
      </w:pPr>
    </w:p>
    <w:p w14:paraId="2AEF816D" w14:textId="77777777" w:rsidR="00014D67" w:rsidRPr="009F7CED" w:rsidRDefault="00014D67" w:rsidP="00086B16">
      <w:pPr>
        <w:ind w:left="-1276" w:right="-377"/>
        <w:jc w:val="both"/>
        <w:rPr>
          <w:rFonts w:cs="Arial"/>
          <w:sz w:val="22"/>
          <w:szCs w:val="22"/>
        </w:rPr>
      </w:pPr>
    </w:p>
    <w:p w14:paraId="41450D09" w14:textId="77777777" w:rsidR="00D05B67" w:rsidRDefault="00D05B67" w:rsidP="00D05B67">
      <w:pPr>
        <w:pStyle w:val="Listavistosa-nfasis11"/>
        <w:jc w:val="both"/>
        <w:rPr>
          <w:rFonts w:ascii="Arial" w:hAnsi="Arial" w:cs="Arial"/>
          <w:b/>
        </w:rPr>
      </w:pPr>
      <w:r>
        <w:rPr>
          <w:rFonts w:ascii="Arial" w:hAnsi="Arial" w:cs="Arial"/>
          <w:b/>
        </w:rPr>
        <w:t>_________________</w:t>
      </w:r>
    </w:p>
    <w:p w14:paraId="1111F554" w14:textId="77777777" w:rsidR="00D05B67" w:rsidRDefault="00D05B67" w:rsidP="00696582">
      <w:pPr>
        <w:pStyle w:val="Listavistosa-nfasis11"/>
        <w:rPr>
          <w:rFonts w:ascii="Arial" w:hAnsi="Arial" w:cs="Arial"/>
          <w:b/>
        </w:rPr>
      </w:pPr>
      <w:r>
        <w:rPr>
          <w:rFonts w:ascii="Arial" w:hAnsi="Arial" w:cs="Arial"/>
          <w:b/>
        </w:rPr>
        <w:t>Nombre y firma del Jefe de la Oficina Jurídica entidad originadora o dependencia que haga sus veces</w:t>
      </w:r>
    </w:p>
    <w:p w14:paraId="78FD4FEF" w14:textId="77777777" w:rsidR="00D05B67" w:rsidRDefault="00D05B67" w:rsidP="00696582">
      <w:pPr>
        <w:pStyle w:val="Listavistosa-nfasis11"/>
        <w:rPr>
          <w:rFonts w:ascii="Arial" w:hAnsi="Arial" w:cs="Arial"/>
          <w:b/>
        </w:rPr>
      </w:pPr>
    </w:p>
    <w:p w14:paraId="28F07B69" w14:textId="77777777" w:rsidR="00D05B67" w:rsidRDefault="00D05B67" w:rsidP="00696582">
      <w:pPr>
        <w:pStyle w:val="Listavistosa-nfasis11"/>
        <w:rPr>
          <w:rFonts w:ascii="Arial" w:hAnsi="Arial" w:cs="Arial"/>
          <w:b/>
        </w:rPr>
      </w:pPr>
      <w:r>
        <w:rPr>
          <w:rFonts w:ascii="Arial" w:hAnsi="Arial" w:cs="Arial"/>
          <w:b/>
        </w:rPr>
        <w:t xml:space="preserve">Nombre y firma del </w:t>
      </w:r>
      <w:r w:rsidRPr="00E20457">
        <w:rPr>
          <w:rFonts w:ascii="Arial" w:hAnsi="Arial" w:cs="Arial"/>
          <w:b/>
        </w:rPr>
        <w:t>(los) servidor(es) público(s) responsables</w:t>
      </w:r>
      <w:r w:rsidRPr="00D05B67">
        <w:rPr>
          <w:rFonts w:ascii="Arial" w:hAnsi="Arial" w:cs="Arial"/>
          <w:b/>
        </w:rPr>
        <w:t xml:space="preserve"> en la entidad cabeza del sector administrativo que lidera el proyecto </w:t>
      </w:r>
      <w:r>
        <w:rPr>
          <w:rFonts w:ascii="Arial" w:hAnsi="Arial" w:cs="Arial"/>
          <w:b/>
        </w:rPr>
        <w:t>normativo</w:t>
      </w:r>
    </w:p>
    <w:p w14:paraId="2CBB4117" w14:textId="77777777" w:rsidR="00D05B67" w:rsidRDefault="00D05B67" w:rsidP="00696582">
      <w:pPr>
        <w:pStyle w:val="Listavistosa-nfasis11"/>
        <w:rPr>
          <w:rFonts w:ascii="Arial" w:hAnsi="Arial" w:cs="Arial"/>
          <w:b/>
        </w:rPr>
      </w:pPr>
    </w:p>
    <w:p w14:paraId="26BCCFF2" w14:textId="77777777" w:rsidR="006779DA" w:rsidRPr="0075705D" w:rsidRDefault="00D05B67" w:rsidP="00696582">
      <w:pPr>
        <w:pStyle w:val="Listavistosa-nfasis11"/>
        <w:rPr>
          <w:rFonts w:ascii="Arial" w:hAnsi="Arial" w:cs="Arial"/>
          <w:b/>
        </w:rPr>
      </w:pPr>
      <w:r>
        <w:rPr>
          <w:rFonts w:ascii="Arial" w:hAnsi="Arial" w:cs="Arial"/>
          <w:b/>
        </w:rPr>
        <w:t xml:space="preserve">Nombre y firma del </w:t>
      </w:r>
      <w:r w:rsidRPr="00E20457">
        <w:rPr>
          <w:rFonts w:ascii="Arial" w:hAnsi="Arial" w:cs="Arial"/>
          <w:b/>
        </w:rPr>
        <w:t>(los) servidor(es) público(s) responsables</w:t>
      </w:r>
      <w:r w:rsidRPr="00D05B67">
        <w:rPr>
          <w:rFonts w:ascii="Arial" w:hAnsi="Arial" w:cs="Arial"/>
          <w:b/>
        </w:rPr>
        <w:t xml:space="preserve"> de otras entidades</w:t>
      </w:r>
      <w:r>
        <w:t xml:space="preserve"> </w:t>
      </w:r>
    </w:p>
    <w:sectPr w:rsidR="006779DA" w:rsidRPr="0075705D" w:rsidSect="00696582">
      <w:headerReference w:type="default" r:id="rId10"/>
      <w:footerReference w:type="default" r:id="rId11"/>
      <w:headerReference w:type="first" r:id="rId12"/>
      <w:type w:val="continuous"/>
      <w:pgSz w:w="12240" w:h="15840" w:code="1"/>
      <w:pgMar w:top="1616" w:right="1701" w:bottom="1115"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E5BB9" w14:textId="77777777" w:rsidR="00953EF0" w:rsidRDefault="00953EF0">
      <w:r>
        <w:separator/>
      </w:r>
    </w:p>
  </w:endnote>
  <w:endnote w:type="continuationSeparator" w:id="0">
    <w:p w14:paraId="6A6AB638" w14:textId="77777777" w:rsidR="00953EF0" w:rsidRDefault="00953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1218A" w14:textId="77777777" w:rsidR="004F5838" w:rsidRDefault="004F5838">
    <w:pPr>
      <w:jc w:val="right"/>
    </w:pPr>
    <w:r>
      <w:fldChar w:fldCharType="begin"/>
    </w:r>
    <w:r>
      <w:instrText>PAGE   \* MERGEFORMAT</w:instrText>
    </w:r>
    <w:r>
      <w:fldChar w:fldCharType="separate"/>
    </w:r>
    <w:r>
      <w:rPr>
        <w:noProof/>
      </w:rPr>
      <w:t>2</w:t>
    </w:r>
    <w:r>
      <w:fldChar w:fldCharType="end"/>
    </w:r>
  </w:p>
  <w:p w14:paraId="497087AB" w14:textId="77777777" w:rsidR="004F5838" w:rsidRPr="0084294E" w:rsidRDefault="004F5838" w:rsidP="00FA4A9E">
    <w:pPr>
      <w:jc w:val="center"/>
      <w:rPr>
        <w:sz w:val="18"/>
        <w:szCs w:val="18"/>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22E35" w14:textId="77777777" w:rsidR="00953EF0" w:rsidRDefault="00953EF0">
      <w:r>
        <w:separator/>
      </w:r>
    </w:p>
  </w:footnote>
  <w:footnote w:type="continuationSeparator" w:id="0">
    <w:p w14:paraId="05F533A0" w14:textId="77777777" w:rsidR="00953EF0" w:rsidRDefault="00953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212A5" w14:textId="77777777" w:rsidR="004F5838" w:rsidRDefault="004F5838">
    <w:pPr>
      <w:pStyle w:val="Encabezado"/>
    </w:pPr>
  </w:p>
  <w:tbl>
    <w:tblPr>
      <w:tblStyle w:val="TableNormal"/>
      <w:tblW w:w="10798" w:type="dxa"/>
      <w:tblInd w:w="-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6262"/>
    </w:tblGrid>
    <w:tr w:rsidR="004F5838" w14:paraId="7CDDB65A" w14:textId="77777777" w:rsidTr="001447C1">
      <w:tc>
        <w:tcPr>
          <w:tcW w:w="4253" w:type="dxa"/>
        </w:tcPr>
        <w:p w14:paraId="69021490" w14:textId="45F5B8E6" w:rsidR="004F5838" w:rsidRDefault="004F5838" w:rsidP="001447C1">
          <w:pPr>
            <w:pStyle w:val="Encabezado"/>
          </w:pPr>
          <w:r>
            <w:rPr>
              <w:noProof/>
              <w:lang w:val="es-ES_tradnl" w:eastAsia="es-ES_tradnl"/>
            </w:rPr>
            <w:drawing>
              <wp:inline distT="0" distB="0" distL="0" distR="0" wp14:anchorId="250810A7" wp14:editId="746AF2E9">
                <wp:extent cx="2743200" cy="495300"/>
                <wp:effectExtent l="0" t="0" r="0" b="0"/>
                <wp:docPr id="1" name="Imagen 2">
                  <a:extLst xmlns:a="http://schemas.openxmlformats.org/drawingml/2006/main">
                    <a:ext uri="{FF2B5EF4-FFF2-40B4-BE49-F238E27FC236}">
                      <a16:creationId xmlns:a16="http://schemas.microsoft.com/office/drawing/2014/main" id="{13AB3424-704D-419D-9F88-22923FB519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200" cy="495300"/>
                        </a:xfrm>
                        <a:prstGeom prst="rect">
                          <a:avLst/>
                        </a:prstGeom>
                        <a:noFill/>
                        <a:ln>
                          <a:noFill/>
                        </a:ln>
                      </pic:spPr>
                    </pic:pic>
                  </a:graphicData>
                </a:graphic>
              </wp:inline>
            </w:drawing>
          </w:r>
        </w:p>
      </w:tc>
      <w:tc>
        <w:tcPr>
          <w:tcW w:w="6545" w:type="dxa"/>
          <w:vAlign w:val="center"/>
        </w:tcPr>
        <w:p w14:paraId="0FDBC33D" w14:textId="77777777" w:rsidR="004F5838" w:rsidRDefault="004F5838" w:rsidP="001447C1">
          <w:pPr>
            <w:pStyle w:val="Ttulo2"/>
            <w:ind w:left="72" w:right="72"/>
          </w:pPr>
          <w:r w:rsidRPr="00FD3D04">
            <w:rPr>
              <w:rFonts w:cs="Arial"/>
              <w:bCs/>
              <w:color w:val="000000"/>
              <w:sz w:val="24"/>
              <w:szCs w:val="24"/>
            </w:rPr>
            <w:t>FORMATO MEMORIA JUSTIFICATIVA</w:t>
          </w:r>
        </w:p>
      </w:tc>
    </w:tr>
  </w:tbl>
  <w:p w14:paraId="60A98791" w14:textId="77777777" w:rsidR="004F5838" w:rsidRDefault="004F583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
      <w:tblW w:w="10798" w:type="dxa"/>
      <w:tblInd w:w="-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6262"/>
    </w:tblGrid>
    <w:tr w:rsidR="004F5838" w14:paraId="3CF23623" w14:textId="77777777" w:rsidTr="00FD3D04">
      <w:tc>
        <w:tcPr>
          <w:tcW w:w="4253" w:type="dxa"/>
        </w:tcPr>
        <w:p w14:paraId="2606AD72" w14:textId="37909DB7" w:rsidR="004F5838" w:rsidRDefault="004F5838">
          <w:pPr>
            <w:pStyle w:val="Encabezado"/>
          </w:pPr>
          <w:r>
            <w:rPr>
              <w:noProof/>
              <w:lang w:val="es-ES_tradnl" w:eastAsia="es-ES_tradnl"/>
            </w:rPr>
            <w:drawing>
              <wp:inline distT="0" distB="0" distL="0" distR="0" wp14:anchorId="41739B87" wp14:editId="5EBA991C">
                <wp:extent cx="2743200" cy="495300"/>
                <wp:effectExtent l="0" t="0" r="0" b="0"/>
                <wp:docPr id="2" name="Imagen 1">
                  <a:extLst xmlns:a="http://schemas.openxmlformats.org/drawingml/2006/main">
                    <a:ext uri="{FF2B5EF4-FFF2-40B4-BE49-F238E27FC236}">
                      <a16:creationId xmlns:a16="http://schemas.microsoft.com/office/drawing/2014/main" id="{F08176EB-6D59-422C-8CEF-7053BB0C54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200" cy="495300"/>
                        </a:xfrm>
                        <a:prstGeom prst="rect">
                          <a:avLst/>
                        </a:prstGeom>
                        <a:noFill/>
                        <a:ln>
                          <a:noFill/>
                        </a:ln>
                      </pic:spPr>
                    </pic:pic>
                  </a:graphicData>
                </a:graphic>
              </wp:inline>
            </w:drawing>
          </w:r>
        </w:p>
      </w:tc>
      <w:tc>
        <w:tcPr>
          <w:tcW w:w="6545" w:type="dxa"/>
          <w:vAlign w:val="center"/>
        </w:tcPr>
        <w:p w14:paraId="6938A3D6" w14:textId="77777777" w:rsidR="004F5838" w:rsidRDefault="004F5838" w:rsidP="00FD3D04">
          <w:pPr>
            <w:pStyle w:val="Ttulo2"/>
            <w:ind w:left="72" w:right="72"/>
          </w:pPr>
          <w:r w:rsidRPr="00FD3D04">
            <w:rPr>
              <w:rFonts w:cs="Arial"/>
              <w:bCs/>
              <w:color w:val="000000"/>
              <w:sz w:val="24"/>
              <w:szCs w:val="24"/>
            </w:rPr>
            <w:t>FORMATO MEMORIA JUSTIFICATIVA</w:t>
          </w:r>
        </w:p>
      </w:tc>
    </w:tr>
  </w:tbl>
  <w:p w14:paraId="3313BE0C" w14:textId="77777777" w:rsidR="004F5838" w:rsidRDefault="004F583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8D575C"/>
    <w:multiLevelType w:val="hybridMultilevel"/>
    <w:tmpl w:val="903E42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4BC1A61"/>
    <w:multiLevelType w:val="multilevel"/>
    <w:tmpl w:val="D78A468E"/>
    <w:lvl w:ilvl="0">
      <w:start w:val="4"/>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043641B"/>
    <w:multiLevelType w:val="multilevel"/>
    <w:tmpl w:val="7944B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E03192F"/>
    <w:multiLevelType w:val="multilevel"/>
    <w:tmpl w:val="91969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4020935">
    <w:abstractNumId w:val="2"/>
  </w:num>
  <w:num w:numId="2" w16cid:durableId="443771320">
    <w:abstractNumId w:val="1"/>
  </w:num>
  <w:num w:numId="3" w16cid:durableId="755630712">
    <w:abstractNumId w:val="3"/>
  </w:num>
  <w:num w:numId="4" w16cid:durableId="7656394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3D24"/>
    <w:rsid w:val="00006F83"/>
    <w:rsid w:val="00007000"/>
    <w:rsid w:val="00007F07"/>
    <w:rsid w:val="00013C42"/>
    <w:rsid w:val="00014D67"/>
    <w:rsid w:val="00015AC2"/>
    <w:rsid w:val="00016A94"/>
    <w:rsid w:val="00021FCC"/>
    <w:rsid w:val="00024F34"/>
    <w:rsid w:val="0002546A"/>
    <w:rsid w:val="00032CBF"/>
    <w:rsid w:val="0004205E"/>
    <w:rsid w:val="00043107"/>
    <w:rsid w:val="00047A6E"/>
    <w:rsid w:val="00050524"/>
    <w:rsid w:val="00066463"/>
    <w:rsid w:val="0007636F"/>
    <w:rsid w:val="00081CEE"/>
    <w:rsid w:val="00083FEF"/>
    <w:rsid w:val="00084B49"/>
    <w:rsid w:val="00086B16"/>
    <w:rsid w:val="00092C0A"/>
    <w:rsid w:val="00094D9F"/>
    <w:rsid w:val="000A35DA"/>
    <w:rsid w:val="000A3E34"/>
    <w:rsid w:val="000A4EBE"/>
    <w:rsid w:val="000B30A6"/>
    <w:rsid w:val="000B39C5"/>
    <w:rsid w:val="000B50F1"/>
    <w:rsid w:val="000C41BE"/>
    <w:rsid w:val="000C5964"/>
    <w:rsid w:val="000C614C"/>
    <w:rsid w:val="000C6C52"/>
    <w:rsid w:val="000D1904"/>
    <w:rsid w:val="000D2DA8"/>
    <w:rsid w:val="000D512E"/>
    <w:rsid w:val="000E0152"/>
    <w:rsid w:val="000E370D"/>
    <w:rsid w:val="000E65A4"/>
    <w:rsid w:val="00105533"/>
    <w:rsid w:val="001072FB"/>
    <w:rsid w:val="00116659"/>
    <w:rsid w:val="001175AA"/>
    <w:rsid w:val="00125A3A"/>
    <w:rsid w:val="00126916"/>
    <w:rsid w:val="00126980"/>
    <w:rsid w:val="001303DD"/>
    <w:rsid w:val="0013215D"/>
    <w:rsid w:val="001348DA"/>
    <w:rsid w:val="001365B5"/>
    <w:rsid w:val="00136CD0"/>
    <w:rsid w:val="0013737F"/>
    <w:rsid w:val="00142BF2"/>
    <w:rsid w:val="001447C1"/>
    <w:rsid w:val="00145BCA"/>
    <w:rsid w:val="0015216F"/>
    <w:rsid w:val="00153523"/>
    <w:rsid w:val="00157729"/>
    <w:rsid w:val="00164587"/>
    <w:rsid w:val="001665A3"/>
    <w:rsid w:val="001743EF"/>
    <w:rsid w:val="00174A31"/>
    <w:rsid w:val="00177232"/>
    <w:rsid w:val="00187186"/>
    <w:rsid w:val="00194011"/>
    <w:rsid w:val="001978EB"/>
    <w:rsid w:val="001A2AF1"/>
    <w:rsid w:val="001C013E"/>
    <w:rsid w:val="001D1743"/>
    <w:rsid w:val="001D17CF"/>
    <w:rsid w:val="001D2100"/>
    <w:rsid w:val="001D3273"/>
    <w:rsid w:val="001E2543"/>
    <w:rsid w:val="001E6C60"/>
    <w:rsid w:val="001E77A9"/>
    <w:rsid w:val="001F238A"/>
    <w:rsid w:val="001F54CC"/>
    <w:rsid w:val="002043BC"/>
    <w:rsid w:val="00212585"/>
    <w:rsid w:val="002171A2"/>
    <w:rsid w:val="00221403"/>
    <w:rsid w:val="002217D1"/>
    <w:rsid w:val="002264B8"/>
    <w:rsid w:val="00235361"/>
    <w:rsid w:val="00236F62"/>
    <w:rsid w:val="00237D76"/>
    <w:rsid w:val="00251FCE"/>
    <w:rsid w:val="00252F13"/>
    <w:rsid w:val="00254313"/>
    <w:rsid w:val="0026513E"/>
    <w:rsid w:val="002729A5"/>
    <w:rsid w:val="00283CE7"/>
    <w:rsid w:val="002862C1"/>
    <w:rsid w:val="00286449"/>
    <w:rsid w:val="00287995"/>
    <w:rsid w:val="00287EC3"/>
    <w:rsid w:val="00293F29"/>
    <w:rsid w:val="002941D1"/>
    <w:rsid w:val="002A2A12"/>
    <w:rsid w:val="002A2BFE"/>
    <w:rsid w:val="002B06F8"/>
    <w:rsid w:val="002C05D0"/>
    <w:rsid w:val="002C6429"/>
    <w:rsid w:val="002D096D"/>
    <w:rsid w:val="002D11FE"/>
    <w:rsid w:val="002D25EF"/>
    <w:rsid w:val="002D2CB2"/>
    <w:rsid w:val="002D35EC"/>
    <w:rsid w:val="002D3FE3"/>
    <w:rsid w:val="002D5E8B"/>
    <w:rsid w:val="002E4A97"/>
    <w:rsid w:val="002E71C4"/>
    <w:rsid w:val="002E7BD5"/>
    <w:rsid w:val="002F226A"/>
    <w:rsid w:val="00300B85"/>
    <w:rsid w:val="00301DC2"/>
    <w:rsid w:val="003227FD"/>
    <w:rsid w:val="00325A55"/>
    <w:rsid w:val="003330AA"/>
    <w:rsid w:val="003343DB"/>
    <w:rsid w:val="00336655"/>
    <w:rsid w:val="00342B3C"/>
    <w:rsid w:val="00343EDB"/>
    <w:rsid w:val="00346554"/>
    <w:rsid w:val="003503EB"/>
    <w:rsid w:val="00350767"/>
    <w:rsid w:val="00350E4B"/>
    <w:rsid w:val="003533A1"/>
    <w:rsid w:val="003651DE"/>
    <w:rsid w:val="00367CB8"/>
    <w:rsid w:val="003711C0"/>
    <w:rsid w:val="00373197"/>
    <w:rsid w:val="00381885"/>
    <w:rsid w:val="0038390A"/>
    <w:rsid w:val="003A0BBF"/>
    <w:rsid w:val="003A3C08"/>
    <w:rsid w:val="003A6449"/>
    <w:rsid w:val="003A73D2"/>
    <w:rsid w:val="003B3F46"/>
    <w:rsid w:val="003B44EE"/>
    <w:rsid w:val="003B4DDE"/>
    <w:rsid w:val="003B625C"/>
    <w:rsid w:val="003C0C28"/>
    <w:rsid w:val="003C0F32"/>
    <w:rsid w:val="003C6CAC"/>
    <w:rsid w:val="003D3516"/>
    <w:rsid w:val="003E1394"/>
    <w:rsid w:val="003E582F"/>
    <w:rsid w:val="003F6810"/>
    <w:rsid w:val="00401B59"/>
    <w:rsid w:val="00405CE5"/>
    <w:rsid w:val="0041604F"/>
    <w:rsid w:val="00427DD9"/>
    <w:rsid w:val="004317DB"/>
    <w:rsid w:val="00432C5C"/>
    <w:rsid w:val="00437C19"/>
    <w:rsid w:val="004463E2"/>
    <w:rsid w:val="00461D1F"/>
    <w:rsid w:val="00470148"/>
    <w:rsid w:val="00470526"/>
    <w:rsid w:val="00474CA7"/>
    <w:rsid w:val="00481FC9"/>
    <w:rsid w:val="004848A4"/>
    <w:rsid w:val="00490F5F"/>
    <w:rsid w:val="004A0755"/>
    <w:rsid w:val="004A6BE3"/>
    <w:rsid w:val="004B078F"/>
    <w:rsid w:val="004C4371"/>
    <w:rsid w:val="004C7D38"/>
    <w:rsid w:val="004D0D86"/>
    <w:rsid w:val="004D10C6"/>
    <w:rsid w:val="004D1FBB"/>
    <w:rsid w:val="004D2643"/>
    <w:rsid w:val="004D294E"/>
    <w:rsid w:val="004D3D03"/>
    <w:rsid w:val="004D4586"/>
    <w:rsid w:val="004D6329"/>
    <w:rsid w:val="004E034B"/>
    <w:rsid w:val="004E17FC"/>
    <w:rsid w:val="004E1ABD"/>
    <w:rsid w:val="004E274E"/>
    <w:rsid w:val="004E517F"/>
    <w:rsid w:val="004F5838"/>
    <w:rsid w:val="004F778E"/>
    <w:rsid w:val="004F7A38"/>
    <w:rsid w:val="0050148F"/>
    <w:rsid w:val="00502F91"/>
    <w:rsid w:val="00507BC6"/>
    <w:rsid w:val="0051565D"/>
    <w:rsid w:val="00520AAA"/>
    <w:rsid w:val="00520B2A"/>
    <w:rsid w:val="00526F8E"/>
    <w:rsid w:val="005338E4"/>
    <w:rsid w:val="00535A01"/>
    <w:rsid w:val="0054286C"/>
    <w:rsid w:val="00543E5A"/>
    <w:rsid w:val="00545A32"/>
    <w:rsid w:val="0054645F"/>
    <w:rsid w:val="005616ED"/>
    <w:rsid w:val="0056258D"/>
    <w:rsid w:val="005629D0"/>
    <w:rsid w:val="00564A4E"/>
    <w:rsid w:val="00565D4F"/>
    <w:rsid w:val="005815B6"/>
    <w:rsid w:val="00584E85"/>
    <w:rsid w:val="005871DA"/>
    <w:rsid w:val="00587695"/>
    <w:rsid w:val="0059054D"/>
    <w:rsid w:val="0059316B"/>
    <w:rsid w:val="005949A8"/>
    <w:rsid w:val="005A077D"/>
    <w:rsid w:val="005A4320"/>
    <w:rsid w:val="005A498D"/>
    <w:rsid w:val="005B7D97"/>
    <w:rsid w:val="005C19CA"/>
    <w:rsid w:val="005C4522"/>
    <w:rsid w:val="005C7458"/>
    <w:rsid w:val="005C7D11"/>
    <w:rsid w:val="005D49BF"/>
    <w:rsid w:val="005E7183"/>
    <w:rsid w:val="005F28BC"/>
    <w:rsid w:val="005F30C3"/>
    <w:rsid w:val="005F7863"/>
    <w:rsid w:val="0060353B"/>
    <w:rsid w:val="006114F3"/>
    <w:rsid w:val="00613299"/>
    <w:rsid w:val="00620876"/>
    <w:rsid w:val="00624FD0"/>
    <w:rsid w:val="00630C5E"/>
    <w:rsid w:val="006315B4"/>
    <w:rsid w:val="0063528C"/>
    <w:rsid w:val="00635AC3"/>
    <w:rsid w:val="00636FFB"/>
    <w:rsid w:val="00651C04"/>
    <w:rsid w:val="00654CCF"/>
    <w:rsid w:val="00656A24"/>
    <w:rsid w:val="00664507"/>
    <w:rsid w:val="00665F82"/>
    <w:rsid w:val="00667C4C"/>
    <w:rsid w:val="0067186C"/>
    <w:rsid w:val="00671E11"/>
    <w:rsid w:val="006779DA"/>
    <w:rsid w:val="006810A0"/>
    <w:rsid w:val="00687EB3"/>
    <w:rsid w:val="00692980"/>
    <w:rsid w:val="00693246"/>
    <w:rsid w:val="0069506F"/>
    <w:rsid w:val="00696582"/>
    <w:rsid w:val="006A1DBB"/>
    <w:rsid w:val="006A49DC"/>
    <w:rsid w:val="006B4E40"/>
    <w:rsid w:val="006B6ED2"/>
    <w:rsid w:val="006C103A"/>
    <w:rsid w:val="006C4E6A"/>
    <w:rsid w:val="006C50E8"/>
    <w:rsid w:val="006D464D"/>
    <w:rsid w:val="006E6F11"/>
    <w:rsid w:val="006F0B6B"/>
    <w:rsid w:val="006F144D"/>
    <w:rsid w:val="006F33D7"/>
    <w:rsid w:val="006F461B"/>
    <w:rsid w:val="006F622C"/>
    <w:rsid w:val="00700FF6"/>
    <w:rsid w:val="00704D44"/>
    <w:rsid w:val="00715A68"/>
    <w:rsid w:val="00715DD5"/>
    <w:rsid w:val="00715ECF"/>
    <w:rsid w:val="00717A04"/>
    <w:rsid w:val="00717BFE"/>
    <w:rsid w:val="007208C5"/>
    <w:rsid w:val="00722567"/>
    <w:rsid w:val="00725BB4"/>
    <w:rsid w:val="0073180A"/>
    <w:rsid w:val="00732997"/>
    <w:rsid w:val="0073357D"/>
    <w:rsid w:val="007336C3"/>
    <w:rsid w:val="00735033"/>
    <w:rsid w:val="00756485"/>
    <w:rsid w:val="0075705D"/>
    <w:rsid w:val="007626E1"/>
    <w:rsid w:val="00767F65"/>
    <w:rsid w:val="00770D6C"/>
    <w:rsid w:val="00783515"/>
    <w:rsid w:val="00787C94"/>
    <w:rsid w:val="00791BCB"/>
    <w:rsid w:val="007921BD"/>
    <w:rsid w:val="00793A02"/>
    <w:rsid w:val="00795C6B"/>
    <w:rsid w:val="007A1566"/>
    <w:rsid w:val="007A3995"/>
    <w:rsid w:val="007A5AC5"/>
    <w:rsid w:val="007B622D"/>
    <w:rsid w:val="007C4288"/>
    <w:rsid w:val="007C484E"/>
    <w:rsid w:val="007D4853"/>
    <w:rsid w:val="007D57C4"/>
    <w:rsid w:val="007E0429"/>
    <w:rsid w:val="007E41DE"/>
    <w:rsid w:val="007E4CE3"/>
    <w:rsid w:val="007F2B1F"/>
    <w:rsid w:val="00802F7A"/>
    <w:rsid w:val="00806771"/>
    <w:rsid w:val="00806A1C"/>
    <w:rsid w:val="0080773A"/>
    <w:rsid w:val="008173F3"/>
    <w:rsid w:val="0082117C"/>
    <w:rsid w:val="008227E9"/>
    <w:rsid w:val="008252C5"/>
    <w:rsid w:val="00831860"/>
    <w:rsid w:val="00832F2D"/>
    <w:rsid w:val="00836C6A"/>
    <w:rsid w:val="00841C9F"/>
    <w:rsid w:val="0084294E"/>
    <w:rsid w:val="00843EFF"/>
    <w:rsid w:val="008442A5"/>
    <w:rsid w:val="008477A9"/>
    <w:rsid w:val="0085416A"/>
    <w:rsid w:val="00856B0F"/>
    <w:rsid w:val="008601B1"/>
    <w:rsid w:val="00862273"/>
    <w:rsid w:val="00870452"/>
    <w:rsid w:val="0087186A"/>
    <w:rsid w:val="00872C56"/>
    <w:rsid w:val="00874F67"/>
    <w:rsid w:val="00876AC2"/>
    <w:rsid w:val="00882A09"/>
    <w:rsid w:val="00883F43"/>
    <w:rsid w:val="00884C98"/>
    <w:rsid w:val="00884CE2"/>
    <w:rsid w:val="00885E7D"/>
    <w:rsid w:val="0089363F"/>
    <w:rsid w:val="00894D05"/>
    <w:rsid w:val="00896ED8"/>
    <w:rsid w:val="008A209D"/>
    <w:rsid w:val="008A2436"/>
    <w:rsid w:val="008A4E8C"/>
    <w:rsid w:val="008A563D"/>
    <w:rsid w:val="008B3B0A"/>
    <w:rsid w:val="008C2BA0"/>
    <w:rsid w:val="008C69F2"/>
    <w:rsid w:val="008D3E6C"/>
    <w:rsid w:val="008D597B"/>
    <w:rsid w:val="008E04EC"/>
    <w:rsid w:val="008E43F4"/>
    <w:rsid w:val="008F1D4A"/>
    <w:rsid w:val="008F42F6"/>
    <w:rsid w:val="008F5282"/>
    <w:rsid w:val="00912BAC"/>
    <w:rsid w:val="00913409"/>
    <w:rsid w:val="00925058"/>
    <w:rsid w:val="00926CDB"/>
    <w:rsid w:val="00930113"/>
    <w:rsid w:val="0093255A"/>
    <w:rsid w:val="009356EC"/>
    <w:rsid w:val="00937FB2"/>
    <w:rsid w:val="0094114F"/>
    <w:rsid w:val="00953EF0"/>
    <w:rsid w:val="0095690D"/>
    <w:rsid w:val="009609C5"/>
    <w:rsid w:val="00963008"/>
    <w:rsid w:val="00965B1A"/>
    <w:rsid w:val="00971B57"/>
    <w:rsid w:val="00974D80"/>
    <w:rsid w:val="009757E4"/>
    <w:rsid w:val="00976331"/>
    <w:rsid w:val="00976933"/>
    <w:rsid w:val="00981893"/>
    <w:rsid w:val="00984974"/>
    <w:rsid w:val="00986438"/>
    <w:rsid w:val="00987DBF"/>
    <w:rsid w:val="00990753"/>
    <w:rsid w:val="009970F9"/>
    <w:rsid w:val="009A5509"/>
    <w:rsid w:val="009A5590"/>
    <w:rsid w:val="009A5E6F"/>
    <w:rsid w:val="009C2AD2"/>
    <w:rsid w:val="009C3837"/>
    <w:rsid w:val="009C44BD"/>
    <w:rsid w:val="009C537F"/>
    <w:rsid w:val="009C590A"/>
    <w:rsid w:val="009D0585"/>
    <w:rsid w:val="009D2BB3"/>
    <w:rsid w:val="009E0846"/>
    <w:rsid w:val="009E1EF4"/>
    <w:rsid w:val="009E1F32"/>
    <w:rsid w:val="009E4BD5"/>
    <w:rsid w:val="009F1BE0"/>
    <w:rsid w:val="009F2A1C"/>
    <w:rsid w:val="009F4956"/>
    <w:rsid w:val="009F49C2"/>
    <w:rsid w:val="009F7CED"/>
    <w:rsid w:val="00A04569"/>
    <w:rsid w:val="00A0736A"/>
    <w:rsid w:val="00A07DE7"/>
    <w:rsid w:val="00A1301A"/>
    <w:rsid w:val="00A14C37"/>
    <w:rsid w:val="00A161B9"/>
    <w:rsid w:val="00A219D7"/>
    <w:rsid w:val="00A2785C"/>
    <w:rsid w:val="00A33DCF"/>
    <w:rsid w:val="00A377FE"/>
    <w:rsid w:val="00A4128C"/>
    <w:rsid w:val="00A41AEF"/>
    <w:rsid w:val="00A447B3"/>
    <w:rsid w:val="00A500DD"/>
    <w:rsid w:val="00A52C3F"/>
    <w:rsid w:val="00A55DB6"/>
    <w:rsid w:val="00A574EA"/>
    <w:rsid w:val="00A61784"/>
    <w:rsid w:val="00A64120"/>
    <w:rsid w:val="00A72973"/>
    <w:rsid w:val="00A74AFD"/>
    <w:rsid w:val="00A80613"/>
    <w:rsid w:val="00A83A98"/>
    <w:rsid w:val="00A85AEA"/>
    <w:rsid w:val="00A94019"/>
    <w:rsid w:val="00A9560A"/>
    <w:rsid w:val="00AA28E8"/>
    <w:rsid w:val="00AB0708"/>
    <w:rsid w:val="00AB0C45"/>
    <w:rsid w:val="00AB3745"/>
    <w:rsid w:val="00AB494F"/>
    <w:rsid w:val="00AB6652"/>
    <w:rsid w:val="00AC1AF8"/>
    <w:rsid w:val="00AC447D"/>
    <w:rsid w:val="00AD5446"/>
    <w:rsid w:val="00AD623F"/>
    <w:rsid w:val="00AE03F3"/>
    <w:rsid w:val="00AF5E71"/>
    <w:rsid w:val="00B13AE3"/>
    <w:rsid w:val="00B25550"/>
    <w:rsid w:val="00B30DCD"/>
    <w:rsid w:val="00B377D3"/>
    <w:rsid w:val="00B4178F"/>
    <w:rsid w:val="00B4216E"/>
    <w:rsid w:val="00B448DC"/>
    <w:rsid w:val="00B463AC"/>
    <w:rsid w:val="00B51095"/>
    <w:rsid w:val="00B6123C"/>
    <w:rsid w:val="00B61CA6"/>
    <w:rsid w:val="00B65F1B"/>
    <w:rsid w:val="00B66D03"/>
    <w:rsid w:val="00B7000F"/>
    <w:rsid w:val="00B729FC"/>
    <w:rsid w:val="00B73EC6"/>
    <w:rsid w:val="00B766E4"/>
    <w:rsid w:val="00B77F34"/>
    <w:rsid w:val="00B8326D"/>
    <w:rsid w:val="00B84AF8"/>
    <w:rsid w:val="00B937B6"/>
    <w:rsid w:val="00BA450F"/>
    <w:rsid w:val="00BB545F"/>
    <w:rsid w:val="00BC4F61"/>
    <w:rsid w:val="00BC6A54"/>
    <w:rsid w:val="00BC6DF0"/>
    <w:rsid w:val="00BD4B65"/>
    <w:rsid w:val="00BE280C"/>
    <w:rsid w:val="00BF054E"/>
    <w:rsid w:val="00BF0DB9"/>
    <w:rsid w:val="00BF6D82"/>
    <w:rsid w:val="00C11085"/>
    <w:rsid w:val="00C12B93"/>
    <w:rsid w:val="00C134C3"/>
    <w:rsid w:val="00C26C14"/>
    <w:rsid w:val="00C27D76"/>
    <w:rsid w:val="00C30EE8"/>
    <w:rsid w:val="00C31D59"/>
    <w:rsid w:val="00C36892"/>
    <w:rsid w:val="00C4009A"/>
    <w:rsid w:val="00C401C2"/>
    <w:rsid w:val="00C46330"/>
    <w:rsid w:val="00C47F73"/>
    <w:rsid w:val="00C52E86"/>
    <w:rsid w:val="00C5407B"/>
    <w:rsid w:val="00C6077B"/>
    <w:rsid w:val="00C61441"/>
    <w:rsid w:val="00C7145D"/>
    <w:rsid w:val="00C7294E"/>
    <w:rsid w:val="00C91F90"/>
    <w:rsid w:val="00CA57DF"/>
    <w:rsid w:val="00CB0063"/>
    <w:rsid w:val="00CB4D37"/>
    <w:rsid w:val="00CB66F7"/>
    <w:rsid w:val="00CC0C62"/>
    <w:rsid w:val="00CC259C"/>
    <w:rsid w:val="00CC42D1"/>
    <w:rsid w:val="00CC5B3E"/>
    <w:rsid w:val="00CC7C9E"/>
    <w:rsid w:val="00CD09D2"/>
    <w:rsid w:val="00CE1A87"/>
    <w:rsid w:val="00CF25EF"/>
    <w:rsid w:val="00D04A96"/>
    <w:rsid w:val="00D05B67"/>
    <w:rsid w:val="00D05D52"/>
    <w:rsid w:val="00D24980"/>
    <w:rsid w:val="00D26D53"/>
    <w:rsid w:val="00D31F43"/>
    <w:rsid w:val="00D40E59"/>
    <w:rsid w:val="00D415E6"/>
    <w:rsid w:val="00D444C5"/>
    <w:rsid w:val="00D530DC"/>
    <w:rsid w:val="00D62023"/>
    <w:rsid w:val="00D7070F"/>
    <w:rsid w:val="00D709DD"/>
    <w:rsid w:val="00D74993"/>
    <w:rsid w:val="00D762F1"/>
    <w:rsid w:val="00D8294A"/>
    <w:rsid w:val="00D83F98"/>
    <w:rsid w:val="00D84A75"/>
    <w:rsid w:val="00D85F90"/>
    <w:rsid w:val="00D87B85"/>
    <w:rsid w:val="00D90649"/>
    <w:rsid w:val="00D91E89"/>
    <w:rsid w:val="00D9213D"/>
    <w:rsid w:val="00D965B1"/>
    <w:rsid w:val="00D97DF9"/>
    <w:rsid w:val="00DA2E96"/>
    <w:rsid w:val="00DA6526"/>
    <w:rsid w:val="00DA6C54"/>
    <w:rsid w:val="00DC54A3"/>
    <w:rsid w:val="00DD181C"/>
    <w:rsid w:val="00DD2F2C"/>
    <w:rsid w:val="00DD48D9"/>
    <w:rsid w:val="00DE1540"/>
    <w:rsid w:val="00DE520C"/>
    <w:rsid w:val="00DF1E66"/>
    <w:rsid w:val="00DF60FD"/>
    <w:rsid w:val="00DF6410"/>
    <w:rsid w:val="00E007F7"/>
    <w:rsid w:val="00E05F18"/>
    <w:rsid w:val="00E06A27"/>
    <w:rsid w:val="00E07918"/>
    <w:rsid w:val="00E11C93"/>
    <w:rsid w:val="00E12202"/>
    <w:rsid w:val="00E242C5"/>
    <w:rsid w:val="00E24673"/>
    <w:rsid w:val="00E24F26"/>
    <w:rsid w:val="00E261B4"/>
    <w:rsid w:val="00E31E85"/>
    <w:rsid w:val="00E407FF"/>
    <w:rsid w:val="00E40C34"/>
    <w:rsid w:val="00E41E2C"/>
    <w:rsid w:val="00E44207"/>
    <w:rsid w:val="00E66C57"/>
    <w:rsid w:val="00E66D00"/>
    <w:rsid w:val="00E7224C"/>
    <w:rsid w:val="00E729F2"/>
    <w:rsid w:val="00E73299"/>
    <w:rsid w:val="00E75DBD"/>
    <w:rsid w:val="00E805D3"/>
    <w:rsid w:val="00E80826"/>
    <w:rsid w:val="00E814C3"/>
    <w:rsid w:val="00E84DA1"/>
    <w:rsid w:val="00E91332"/>
    <w:rsid w:val="00E954E7"/>
    <w:rsid w:val="00EA3045"/>
    <w:rsid w:val="00EB32A2"/>
    <w:rsid w:val="00EB75FE"/>
    <w:rsid w:val="00EC1DE8"/>
    <w:rsid w:val="00EC35AE"/>
    <w:rsid w:val="00ED4708"/>
    <w:rsid w:val="00EE0D69"/>
    <w:rsid w:val="00EE0F26"/>
    <w:rsid w:val="00EE2ABB"/>
    <w:rsid w:val="00EF0B34"/>
    <w:rsid w:val="00EF192B"/>
    <w:rsid w:val="00EF598C"/>
    <w:rsid w:val="00EF6C65"/>
    <w:rsid w:val="00F06B8A"/>
    <w:rsid w:val="00F07A7D"/>
    <w:rsid w:val="00F13CF3"/>
    <w:rsid w:val="00F153C1"/>
    <w:rsid w:val="00F16839"/>
    <w:rsid w:val="00F211E7"/>
    <w:rsid w:val="00F21D37"/>
    <w:rsid w:val="00F221F0"/>
    <w:rsid w:val="00F26136"/>
    <w:rsid w:val="00F2713B"/>
    <w:rsid w:val="00F305D8"/>
    <w:rsid w:val="00F36BBE"/>
    <w:rsid w:val="00F37106"/>
    <w:rsid w:val="00F4147D"/>
    <w:rsid w:val="00F44A2E"/>
    <w:rsid w:val="00F47D57"/>
    <w:rsid w:val="00F55DC4"/>
    <w:rsid w:val="00F576B3"/>
    <w:rsid w:val="00F7184F"/>
    <w:rsid w:val="00F745E1"/>
    <w:rsid w:val="00F75A79"/>
    <w:rsid w:val="00F7620E"/>
    <w:rsid w:val="00F775AD"/>
    <w:rsid w:val="00F80E07"/>
    <w:rsid w:val="00F81F5F"/>
    <w:rsid w:val="00F90326"/>
    <w:rsid w:val="00F90F86"/>
    <w:rsid w:val="00F92DF0"/>
    <w:rsid w:val="00FA0454"/>
    <w:rsid w:val="00FA4A9E"/>
    <w:rsid w:val="00FB1248"/>
    <w:rsid w:val="00FB217D"/>
    <w:rsid w:val="00FB29CC"/>
    <w:rsid w:val="00FC0522"/>
    <w:rsid w:val="00FC2DE3"/>
    <w:rsid w:val="00FD3D04"/>
    <w:rsid w:val="00FD49A0"/>
    <w:rsid w:val="00FE27DE"/>
    <w:rsid w:val="00FF66CA"/>
    <w:rsid w:val="1A91E077"/>
    <w:rsid w:val="2E4245AD"/>
    <w:rsid w:val="33BF7AF8"/>
    <w:rsid w:val="3D9B7F35"/>
    <w:rsid w:val="461CD213"/>
    <w:rsid w:val="559F413C"/>
    <w:rsid w:val="5A4DE2FA"/>
    <w:rsid w:val="5E8882CF"/>
    <w:rsid w:val="5EBD3370"/>
    <w:rsid w:val="7FEA058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44B8F"/>
  <w15:chartTrackingRefBased/>
  <w15:docId w15:val="{4723A014-C001-4075-B6A7-E3FBB755E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lang w:val="es-ES"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lang w:val="es-CO"/>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sz w:val="24"/>
      <w:lang w:val="es-CO"/>
    </w:rPr>
  </w:style>
  <w:style w:type="character" w:customStyle="1" w:styleId="InitialStyle">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sz w:val="24"/>
      <w:szCs w:val="24"/>
    </w:rPr>
  </w:style>
  <w:style w:type="character" w:customStyle="1" w:styleId="CommentReference">
    <w:name w:val="Comment Reference"/>
    <w:semiHidden/>
    <w:rsid w:val="00885E7D"/>
    <w:rPr>
      <w:sz w:val="16"/>
      <w:szCs w:val="16"/>
    </w:rPr>
  </w:style>
  <w:style w:type="paragraph" w:customStyle="1" w:styleId="CommentText">
    <w:name w:val="Comment Text"/>
    <w:basedOn w:val="Normal"/>
    <w:semiHidden/>
    <w:rsid w:val="00885E7D"/>
  </w:style>
  <w:style w:type="paragraph" w:customStyle="1" w:styleId="CommentSubject">
    <w:name w:val="Comment Subject"/>
    <w:basedOn w:val="CommentText"/>
    <w:next w:val="CommentText"/>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val="es-CO" w:eastAsia="es-CO"/>
    </w:rPr>
  </w:style>
  <w:style w:type="paragraph" w:customStyle="1" w:styleId="Default">
    <w:name w:val="Default"/>
    <w:rsid w:val="00DF1E66"/>
    <w:pPr>
      <w:autoSpaceDE w:val="0"/>
      <w:autoSpaceDN w:val="0"/>
      <w:adjustRightInd w:val="0"/>
    </w:pPr>
    <w:rPr>
      <w:rFonts w:ascii="Arial" w:hAnsi="Arial" w:cs="Arial"/>
      <w:color w:val="000000"/>
      <w:sz w:val="24"/>
      <w:szCs w:val="24"/>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customStyle="1" w:styleId="xmsonormal">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customStyle="1" w:styleId="xmsolistparagraph">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rFonts w:ascii="Times New Roman" w:hAnsi="Times New Roman"/>
      <w:sz w:val="24"/>
      <w:szCs w:val="24"/>
      <w:lang w:val="es-CO" w:eastAsia="es-CO"/>
    </w:rPr>
  </w:style>
  <w:style w:type="character" w:styleId="Refdenotaalpie">
    <w:name w:val="footnote reference"/>
    <w:uiPriority w:val="99"/>
    <w:rsid w:val="00925058"/>
    <w:rPr>
      <w:vertAlign w:val="superscript"/>
    </w:rPr>
  </w:style>
  <w:style w:type="paragraph" w:customStyle="1" w:styleId="Cuadrculamedia21">
    <w:name w:val="Cuadrícula media 21"/>
    <w:qFormat/>
    <w:rsid w:val="00236F62"/>
    <w:rPr>
      <w:rFonts w:ascii="Calibri" w:eastAsia="Calibri" w:hAnsi="Calibri"/>
      <w:sz w:val="22"/>
      <w:szCs w:val="22"/>
      <w:lang w:eastAsia="en-US"/>
    </w:rPr>
  </w:style>
  <w:style w:type="character" w:customStyle="1" w:styleId="Textoennegrita">
    <w:name w:val="Texto en negrita"/>
    <w:uiPriority w:val="22"/>
    <w:qFormat/>
    <w:rsid w:val="002D2CB2"/>
    <w:rPr>
      <w:b/>
      <w:bC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eNormal"/>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72"/>
    <w:qFormat/>
    <w:rsid w:val="00AB3745"/>
    <w:pPr>
      <w:ind w:left="708"/>
    </w:pPr>
  </w:style>
  <w:style w:type="character" w:customStyle="1" w:styleId="PiedepginaCar">
    <w:name w:val="Pie de página Car"/>
    <w:uiPriority w:val="99"/>
    <w:rsid w:val="00EF598C"/>
    <w:rPr>
      <w:rFonts w:ascii="Arial" w:hAnsi="Arial"/>
      <w:lang w:val="es-ES" w:eastAsia="es-ES"/>
    </w:rPr>
  </w:style>
  <w:style w:type="character" w:customStyle="1" w:styleId="TextonotapieCar">
    <w:name w:val="Texto nota pie Car"/>
    <w:uiPriority w:val="99"/>
    <w:rsid w:val="00EF598C"/>
    <w:rPr>
      <w:rFonts w:ascii="Times" w:eastAsia="Times" w:hAnsi="Times"/>
      <w:lang w:val="en-US" w:eastAsia="es-ES"/>
    </w:rPr>
  </w:style>
  <w:style w:type="character" w:customStyle="1" w:styleId="TtuloCar">
    <w:name w:val="Título Car"/>
    <w:rsid w:val="00EF598C"/>
    <w:rPr>
      <w:rFonts w:ascii="Arial" w:hAnsi="Arial" w:cs="Arial"/>
      <w:b/>
      <w:bCs/>
      <w:sz w:val="32"/>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F7662364286148BDCEC55E622AC430" ma:contentTypeVersion="3" ma:contentTypeDescription="Create a new document." ma:contentTypeScope="" ma:versionID="2fb200918f37e39d83cf863db6530d01">
  <xsd:schema xmlns:xsd="http://www.w3.org/2001/XMLSchema" xmlns:xs="http://www.w3.org/2001/XMLSchema" xmlns:p="http://schemas.microsoft.com/office/2006/metadata/properties" xmlns:ns2="c2f9ee66-d6da-491f-be88-8662a68ee3bd" targetNamespace="http://schemas.microsoft.com/office/2006/metadata/properties" ma:root="true" ma:fieldsID="e3c0d60f91c1248c3d9a5a18b7638348" ns2:_="">
    <xsd:import namespace="c2f9ee66-d6da-491f-be88-8662a68ee3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ee66-d6da-491f-be88-8662a68ee3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40C656-65B5-453A-8061-BE237ECE2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ee66-d6da-491f-be88-8662a68ee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7268B-CAED-4F77-88D9-909B5FCA58A0}">
  <ds:schemaRefs>
    <ds:schemaRef ds:uri="http://schemas.microsoft.com/sharepoint/v3/contenttype/forms"/>
  </ds:schemaRefs>
</ds:datastoreItem>
</file>

<file path=customXml/itemProps3.xml><?xml version="1.0" encoding="utf-8"?>
<ds:datastoreItem xmlns:ds="http://schemas.openxmlformats.org/officeDocument/2006/customXml" ds:itemID="{2205FCED-15A1-4330-AE30-B94CBD938E7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fff98e-79a5-4bb5-918f-0a7a14c4bbef}" enabled="0" method="" siteId="{eafff98e-79a5-4bb5-918f-0a7a14c4bbef}" removed="1"/>
</clbl:labelList>
</file>

<file path=docProps/app.xml><?xml version="1.0" encoding="utf-8"?>
<Properties xmlns="http://schemas.openxmlformats.org/officeDocument/2006/extended-properties" xmlns:vt="http://schemas.openxmlformats.org/officeDocument/2006/docPropsVTypes">
  <Template>Normal</Template>
  <TotalTime>80</TotalTime>
  <Pages>6</Pages>
  <Words>2857</Words>
  <Characters>16034</Characters>
  <Application>Microsoft Office Word</Application>
  <DocSecurity>0</DocSecurity>
  <Lines>381</Lines>
  <Paragraphs>87</Paragraphs>
  <ScaleCrop>false</ScaleCrop>
  <Company>dafp</Company>
  <LinksUpToDate>false</LinksUpToDate>
  <CharactersWithSpaces>18804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Memoria Justificativa</dc:title>
  <dc:subject/>
  <dc:creator>Departamento Administrativo de la Función Publica</dc:creator>
  <cp:keywords/>
  <dc:description/>
  <cp:lastModifiedBy>Geraldine Fandino Bustos</cp:lastModifiedBy>
  <cp:revision>60</cp:revision>
  <cp:lastPrinted>2019-07-08T20:30:00Z</cp:lastPrinted>
  <dcterms:created xsi:type="dcterms:W3CDTF">2026-07-06T14:23:00Z</dcterms:created>
  <dcterms:modified xsi:type="dcterms:W3CDTF">2026-07-23T12:46:00Z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0x010100A7F7662364286148BDCEC55E622AC430</vt:lpwstr>
  </property>
</Properties>
</file>